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381FC" w14:textId="4EE82A5B" w:rsidR="00A95ACC" w:rsidRPr="00D51023" w:rsidRDefault="00A95ACC" w:rsidP="00D51023">
      <w:pPr>
        <w:pStyle w:val="Heading20"/>
        <w:jc w:val="center"/>
        <w:rPr>
          <w:rFonts w:ascii="Arial" w:hAnsi="Arial"/>
          <w:b/>
          <w:bCs/>
          <w:color w:val="000000" w:themeColor="text1"/>
          <w:sz w:val="24"/>
          <w:szCs w:val="24"/>
        </w:rPr>
      </w:pPr>
      <w:bookmarkStart w:id="0" w:name="_Hlk49266620"/>
      <w:bookmarkStart w:id="1" w:name="_Hlk531167405"/>
      <w:bookmarkStart w:id="2" w:name="_Hlk38273550"/>
      <w:r w:rsidRPr="00D51023">
        <w:rPr>
          <w:rFonts w:ascii="Arial" w:hAnsi="Arial"/>
          <w:b/>
          <w:bCs/>
          <w:color w:val="000000" w:themeColor="text1"/>
          <w:sz w:val="24"/>
          <w:szCs w:val="24"/>
        </w:rPr>
        <w:t xml:space="preserve">SCHEDULE G – </w:t>
      </w:r>
      <w:r w:rsidR="0068230E">
        <w:rPr>
          <w:rFonts w:ascii="Arial" w:hAnsi="Arial"/>
          <w:b/>
          <w:bCs/>
          <w:color w:val="000000" w:themeColor="text1"/>
          <w:sz w:val="24"/>
          <w:szCs w:val="24"/>
        </w:rPr>
        <w:t>TRANSITION IN AND OUT</w:t>
      </w:r>
    </w:p>
    <w:p w14:paraId="38FE730B" w14:textId="2B9158B8" w:rsidR="00A95ACC" w:rsidRDefault="00A95ACC" w:rsidP="00A437E6">
      <w:pPr>
        <w:rPr>
          <w:rFonts w:cs="Arial"/>
          <w:sz w:val="18"/>
          <w:szCs w:val="18"/>
          <w:highlight w:val="green"/>
        </w:rPr>
      </w:pPr>
    </w:p>
    <w:tbl>
      <w:tblPr>
        <w:tblStyle w:val="TableGrid"/>
        <w:tblW w:w="0" w:type="auto"/>
        <w:tblLook w:val="04A0" w:firstRow="1" w:lastRow="0" w:firstColumn="1" w:lastColumn="0" w:noHBand="0" w:noVBand="1"/>
      </w:tblPr>
      <w:tblGrid>
        <w:gridCol w:w="9350"/>
      </w:tblGrid>
      <w:tr w:rsidR="00A437E6" w14:paraId="365655E9" w14:textId="77777777" w:rsidTr="0000616A">
        <w:tc>
          <w:tcPr>
            <w:tcW w:w="9350" w:type="dxa"/>
          </w:tcPr>
          <w:p w14:paraId="6433AB59" w14:textId="7EC06DC7" w:rsidR="00A437E6" w:rsidRDefault="00A437E6" w:rsidP="0000616A">
            <w:pPr>
              <w:autoSpaceDE w:val="0"/>
              <w:autoSpaceDN w:val="0"/>
              <w:adjustRightInd w:val="0"/>
              <w:spacing w:after="0" w:line="240" w:lineRule="auto"/>
              <w:rPr>
                <w:rFonts w:eastAsia="Arial" w:cs="Arial"/>
                <w:sz w:val="18"/>
                <w:szCs w:val="18"/>
              </w:rPr>
            </w:pPr>
            <w:r>
              <w:rPr>
                <w:rFonts w:eastAsia="Arial" w:cs="Arial"/>
                <w:sz w:val="18"/>
                <w:szCs w:val="18"/>
              </w:rPr>
              <w:t>Bidder must provide a detailed transition-in plan and transition-out plan, including any roles or responsibilities expected of the State.  The plan must demonstrate the steps to migrate services between Bidder and a third-party or the State.</w:t>
            </w:r>
          </w:p>
          <w:p w14:paraId="2D416174" w14:textId="77777777" w:rsidR="00A437E6" w:rsidRDefault="00A437E6" w:rsidP="0000616A">
            <w:pPr>
              <w:autoSpaceDE w:val="0"/>
              <w:autoSpaceDN w:val="0"/>
              <w:adjustRightInd w:val="0"/>
              <w:spacing w:after="0" w:line="240" w:lineRule="auto"/>
              <w:rPr>
                <w:rFonts w:eastAsia="Arial" w:cs="Arial"/>
                <w:sz w:val="18"/>
                <w:szCs w:val="18"/>
              </w:rPr>
            </w:pPr>
            <w:r w:rsidRPr="00E83E00">
              <w:rPr>
                <w:b/>
                <w:bCs/>
              </w:rPr>
              <w:t>BIDDER RESPONSE:</w:t>
            </w:r>
          </w:p>
          <w:p w14:paraId="40447D1A" w14:textId="77777777" w:rsidR="00A437E6" w:rsidRDefault="00A437E6" w:rsidP="0000616A">
            <w:pPr>
              <w:autoSpaceDE w:val="0"/>
              <w:autoSpaceDN w:val="0"/>
              <w:adjustRightInd w:val="0"/>
              <w:spacing w:after="0" w:line="240" w:lineRule="auto"/>
              <w:rPr>
                <w:rFonts w:eastAsia="Arial" w:cs="Arial"/>
                <w:sz w:val="18"/>
                <w:szCs w:val="18"/>
              </w:rPr>
            </w:pPr>
          </w:p>
          <w:p w14:paraId="1F9D5B41" w14:textId="74E5A38F" w:rsidR="00CF6EE9" w:rsidRDefault="00CF6EE9" w:rsidP="0000616A">
            <w:pPr>
              <w:autoSpaceDE w:val="0"/>
              <w:autoSpaceDN w:val="0"/>
              <w:adjustRightInd w:val="0"/>
              <w:spacing w:after="0" w:line="240" w:lineRule="auto"/>
              <w:rPr>
                <w:rFonts w:eastAsia="Arial" w:cs="Arial"/>
                <w:b/>
                <w:sz w:val="18"/>
                <w:szCs w:val="18"/>
              </w:rPr>
            </w:pPr>
            <w:r w:rsidRPr="00CF6EE9">
              <w:rPr>
                <w:rFonts w:eastAsia="Arial" w:cs="Arial"/>
                <w:b/>
                <w:sz w:val="18"/>
                <w:szCs w:val="18"/>
              </w:rPr>
              <w:t>Transition In:</w:t>
            </w:r>
          </w:p>
          <w:p w14:paraId="28C0AA2C" w14:textId="77777777" w:rsidR="004F0898" w:rsidRPr="00CF6EE9" w:rsidRDefault="004F0898" w:rsidP="0000616A">
            <w:pPr>
              <w:autoSpaceDE w:val="0"/>
              <w:autoSpaceDN w:val="0"/>
              <w:adjustRightInd w:val="0"/>
              <w:spacing w:after="0" w:line="240" w:lineRule="auto"/>
              <w:rPr>
                <w:rFonts w:eastAsia="Arial" w:cs="Arial"/>
                <w:b/>
                <w:sz w:val="18"/>
                <w:szCs w:val="18"/>
              </w:rPr>
            </w:pPr>
          </w:p>
          <w:p w14:paraId="7AD4F69C" w14:textId="20766941" w:rsidR="00CF6EE9" w:rsidRDefault="004F0898" w:rsidP="0000616A">
            <w:pPr>
              <w:autoSpaceDE w:val="0"/>
              <w:autoSpaceDN w:val="0"/>
              <w:adjustRightInd w:val="0"/>
              <w:spacing w:after="0" w:line="240" w:lineRule="auto"/>
              <w:rPr>
                <w:rFonts w:eastAsia="Arial" w:cs="Arial"/>
                <w:color w:val="00338D"/>
                <w:sz w:val="18"/>
                <w:szCs w:val="18"/>
              </w:rPr>
            </w:pPr>
            <w:r w:rsidRPr="004F0898">
              <w:rPr>
                <w:rFonts w:eastAsia="Arial" w:cs="Arial"/>
                <w:color w:val="00338D"/>
                <w:sz w:val="18"/>
                <w:szCs w:val="18"/>
              </w:rPr>
              <w:t xml:space="preserve">KPMG will review the current data and processes of the current state to evaluate and implement the Unique Identifier Solution. This analysis will be done as part of our Requirements and Design Specification phase so that the capabilities can be built to support your processes as you transition into the new technology services. Transition responsibilities, change management, and training / Knowledge Transfer to MDE-CEPI stakeholders are covered in our Rollout Project Plan. Please refer to the attached Project Plan for more details. </w:t>
            </w:r>
          </w:p>
          <w:p w14:paraId="79B0A931" w14:textId="77777777" w:rsidR="004F0898" w:rsidRDefault="004F0898" w:rsidP="0000616A">
            <w:pPr>
              <w:autoSpaceDE w:val="0"/>
              <w:autoSpaceDN w:val="0"/>
              <w:adjustRightInd w:val="0"/>
              <w:spacing w:after="0" w:line="240" w:lineRule="auto"/>
              <w:rPr>
                <w:rFonts w:eastAsia="Arial" w:cs="Arial"/>
                <w:color w:val="00338D"/>
                <w:sz w:val="18"/>
                <w:szCs w:val="18"/>
              </w:rPr>
            </w:pPr>
          </w:p>
          <w:p w14:paraId="210C8D22" w14:textId="7AD3DBDB" w:rsidR="00CF6EE9" w:rsidRPr="00CF6EE9" w:rsidRDefault="00CF6EE9" w:rsidP="0000616A">
            <w:pPr>
              <w:autoSpaceDE w:val="0"/>
              <w:autoSpaceDN w:val="0"/>
              <w:adjustRightInd w:val="0"/>
              <w:spacing w:after="0" w:line="240" w:lineRule="auto"/>
              <w:rPr>
                <w:rFonts w:eastAsia="Arial" w:cs="Arial"/>
                <w:b/>
                <w:sz w:val="18"/>
                <w:szCs w:val="18"/>
              </w:rPr>
            </w:pPr>
            <w:r w:rsidRPr="00CF6EE9">
              <w:rPr>
                <w:rFonts w:eastAsia="Arial" w:cs="Arial"/>
                <w:b/>
                <w:sz w:val="18"/>
                <w:szCs w:val="18"/>
              </w:rPr>
              <w:t>Transition Out:</w:t>
            </w:r>
          </w:p>
          <w:p w14:paraId="798F18C1" w14:textId="2B148912" w:rsidR="00CF6EE9" w:rsidRPr="00CF6EE9" w:rsidRDefault="00CF6EE9" w:rsidP="0000616A">
            <w:pPr>
              <w:autoSpaceDE w:val="0"/>
              <w:autoSpaceDN w:val="0"/>
              <w:adjustRightInd w:val="0"/>
              <w:spacing w:after="0" w:line="240" w:lineRule="auto"/>
              <w:rPr>
                <w:rFonts w:eastAsia="Arial" w:cs="Arial"/>
                <w:color w:val="00338D"/>
                <w:sz w:val="18"/>
                <w:szCs w:val="18"/>
              </w:rPr>
            </w:pPr>
            <w:r w:rsidRPr="00CF6EE9">
              <w:rPr>
                <w:rFonts w:eastAsia="Arial" w:cs="Arial"/>
                <w:color w:val="00338D"/>
                <w:sz w:val="18"/>
                <w:szCs w:val="18"/>
              </w:rPr>
              <w:t>Transition Out can happen in two scenarios:</w:t>
            </w:r>
          </w:p>
          <w:p w14:paraId="4DDB380D" w14:textId="5E7EC0C0" w:rsidR="00CF6EE9" w:rsidRPr="00CF6EE9" w:rsidRDefault="00CF6EE9" w:rsidP="004F0898">
            <w:pPr>
              <w:pStyle w:val="ListParagraph"/>
              <w:numPr>
                <w:ilvl w:val="0"/>
                <w:numId w:val="125"/>
              </w:numPr>
              <w:autoSpaceDE w:val="0"/>
              <w:autoSpaceDN w:val="0"/>
              <w:adjustRightInd w:val="0"/>
              <w:spacing w:before="120" w:after="120"/>
              <w:ind w:left="346" w:hanging="346"/>
              <w:rPr>
                <w:rFonts w:eastAsia="Arial" w:cs="Arial"/>
                <w:color w:val="00338D"/>
                <w:sz w:val="18"/>
                <w:szCs w:val="18"/>
              </w:rPr>
            </w:pPr>
            <w:r w:rsidRPr="00CF6EE9">
              <w:rPr>
                <w:rFonts w:eastAsia="Arial" w:cs="Arial"/>
                <w:b/>
                <w:i/>
                <w:color w:val="00338D"/>
                <w:sz w:val="18"/>
                <w:szCs w:val="18"/>
              </w:rPr>
              <w:t>State decides to implement another solution</w:t>
            </w:r>
            <w:r w:rsidRPr="00CF6EE9">
              <w:rPr>
                <w:rFonts w:eastAsia="Arial" w:cs="Arial"/>
                <w:color w:val="00338D"/>
                <w:sz w:val="18"/>
                <w:szCs w:val="18"/>
              </w:rPr>
              <w:t>. Refer to Software Transition Out Section</w:t>
            </w:r>
            <w:r w:rsidR="004F0898">
              <w:rPr>
                <w:rFonts w:eastAsia="Arial" w:cs="Arial"/>
                <w:color w:val="00338D"/>
                <w:sz w:val="18"/>
                <w:szCs w:val="18"/>
              </w:rPr>
              <w:t xml:space="preserve"> (below)</w:t>
            </w:r>
            <w:r w:rsidRPr="00CF6EE9">
              <w:rPr>
                <w:rFonts w:eastAsia="Arial" w:cs="Arial"/>
                <w:color w:val="00338D"/>
                <w:sz w:val="18"/>
                <w:szCs w:val="18"/>
              </w:rPr>
              <w:t xml:space="preserve"> for more details.</w:t>
            </w:r>
          </w:p>
          <w:p w14:paraId="24FB97B7" w14:textId="58CCC4EE" w:rsidR="00CF6EE9" w:rsidRPr="00CF6EE9" w:rsidRDefault="00CF6EE9" w:rsidP="004F0898">
            <w:pPr>
              <w:pStyle w:val="ListParagraph"/>
              <w:numPr>
                <w:ilvl w:val="0"/>
                <w:numId w:val="125"/>
              </w:numPr>
              <w:autoSpaceDE w:val="0"/>
              <w:autoSpaceDN w:val="0"/>
              <w:adjustRightInd w:val="0"/>
              <w:spacing w:before="120" w:after="120"/>
              <w:ind w:left="346" w:hanging="346"/>
              <w:rPr>
                <w:rFonts w:eastAsia="Arial" w:cs="Arial"/>
                <w:color w:val="00338D"/>
                <w:sz w:val="18"/>
                <w:szCs w:val="18"/>
              </w:rPr>
            </w:pPr>
            <w:r w:rsidRPr="00CF6EE9">
              <w:rPr>
                <w:rFonts w:eastAsia="Arial" w:cs="Arial"/>
                <w:b/>
                <w:i/>
                <w:color w:val="00338D"/>
                <w:sz w:val="18"/>
                <w:szCs w:val="18"/>
              </w:rPr>
              <w:t xml:space="preserve">State decides to give the Maintenance and </w:t>
            </w:r>
            <w:r>
              <w:rPr>
                <w:rFonts w:eastAsia="Arial" w:cs="Arial"/>
                <w:b/>
                <w:i/>
                <w:color w:val="00338D"/>
                <w:sz w:val="18"/>
                <w:szCs w:val="18"/>
              </w:rPr>
              <w:t>Support</w:t>
            </w:r>
            <w:r w:rsidRPr="00CF6EE9">
              <w:rPr>
                <w:rFonts w:eastAsia="Arial" w:cs="Arial"/>
                <w:b/>
                <w:i/>
                <w:color w:val="00338D"/>
                <w:sz w:val="18"/>
                <w:szCs w:val="18"/>
              </w:rPr>
              <w:t xml:space="preserve"> Contract to another provider</w:t>
            </w:r>
            <w:r w:rsidRPr="00CF6EE9">
              <w:rPr>
                <w:rFonts w:eastAsia="Arial" w:cs="Arial"/>
                <w:color w:val="00338D"/>
                <w:sz w:val="18"/>
                <w:szCs w:val="18"/>
              </w:rPr>
              <w:t>. Refer to Services Transition Out</w:t>
            </w:r>
            <w:r w:rsidR="004F0898">
              <w:rPr>
                <w:rFonts w:eastAsia="Arial" w:cs="Arial"/>
                <w:color w:val="00338D"/>
                <w:sz w:val="18"/>
                <w:szCs w:val="18"/>
              </w:rPr>
              <w:t xml:space="preserve"> (below)</w:t>
            </w:r>
            <w:r w:rsidRPr="00CF6EE9">
              <w:rPr>
                <w:rFonts w:eastAsia="Arial" w:cs="Arial"/>
                <w:color w:val="00338D"/>
                <w:sz w:val="18"/>
                <w:szCs w:val="18"/>
              </w:rPr>
              <w:t xml:space="preserve"> for more details.</w:t>
            </w:r>
          </w:p>
          <w:p w14:paraId="7E299914" w14:textId="733267E5" w:rsidR="00CF6EE9" w:rsidRPr="006F19C8" w:rsidRDefault="00CF6EE9" w:rsidP="004F0898">
            <w:pPr>
              <w:autoSpaceDE w:val="0"/>
              <w:autoSpaceDN w:val="0"/>
              <w:adjustRightInd w:val="0"/>
              <w:spacing w:before="240" w:after="120"/>
              <w:rPr>
                <w:rFonts w:eastAsia="Arial" w:cs="Arial"/>
                <w:b/>
                <w:sz w:val="18"/>
                <w:szCs w:val="18"/>
              </w:rPr>
            </w:pPr>
            <w:r w:rsidRPr="006F19C8">
              <w:rPr>
                <w:rFonts w:eastAsia="Arial" w:cs="Arial"/>
                <w:b/>
                <w:sz w:val="18"/>
                <w:szCs w:val="18"/>
              </w:rPr>
              <w:t>Software Transition Out:</w:t>
            </w:r>
          </w:p>
          <w:p w14:paraId="65DCFD6B" w14:textId="77777777" w:rsidR="007B60D8" w:rsidRPr="006F19C8" w:rsidRDefault="007B60D8" w:rsidP="007B60D8">
            <w:pPr>
              <w:spacing w:after="0" w:line="240" w:lineRule="auto"/>
              <w:contextualSpacing/>
              <w:rPr>
                <w:rFonts w:eastAsia="Arial" w:cs="Arial"/>
                <w:color w:val="00338D"/>
                <w:sz w:val="18"/>
                <w:szCs w:val="18"/>
              </w:rPr>
            </w:pPr>
            <w:r w:rsidRPr="006F19C8">
              <w:rPr>
                <w:rFonts w:eastAsia="Arial" w:cs="Arial"/>
                <w:color w:val="00338D"/>
                <w:sz w:val="18"/>
                <w:szCs w:val="18"/>
              </w:rPr>
              <w:t xml:space="preserve">If </w:t>
            </w:r>
            <w:r>
              <w:rPr>
                <w:rFonts w:eastAsia="Arial" w:cs="Arial"/>
                <w:color w:val="00338D"/>
                <w:sz w:val="18"/>
                <w:szCs w:val="18"/>
              </w:rPr>
              <w:t xml:space="preserve">the </w:t>
            </w:r>
            <w:r w:rsidRPr="006F19C8">
              <w:rPr>
                <w:rFonts w:eastAsia="Arial" w:cs="Arial"/>
                <w:color w:val="00338D"/>
                <w:sz w:val="18"/>
                <w:szCs w:val="18"/>
              </w:rPr>
              <w:t>State decides to transition out of SailPoint I</w:t>
            </w:r>
            <w:r>
              <w:rPr>
                <w:rFonts w:eastAsia="Arial" w:cs="Arial"/>
                <w:color w:val="00338D"/>
                <w:sz w:val="18"/>
                <w:szCs w:val="18"/>
              </w:rPr>
              <w:t>dentity</w:t>
            </w:r>
            <w:r w:rsidRPr="006F19C8">
              <w:rPr>
                <w:rFonts w:eastAsia="Arial" w:cs="Arial"/>
                <w:color w:val="00338D"/>
                <w:sz w:val="18"/>
                <w:szCs w:val="18"/>
              </w:rPr>
              <w:t>IQ based Unique Person Identifier Solution, an evaluation of capabilities</w:t>
            </w:r>
            <w:r>
              <w:rPr>
                <w:rFonts w:eastAsia="Arial" w:cs="Arial"/>
                <w:color w:val="00338D"/>
                <w:sz w:val="18"/>
                <w:szCs w:val="18"/>
              </w:rPr>
              <w:t>, current and future and</w:t>
            </w:r>
            <w:r w:rsidRPr="006F19C8">
              <w:rPr>
                <w:rFonts w:eastAsia="Arial" w:cs="Arial"/>
                <w:color w:val="00338D"/>
                <w:sz w:val="18"/>
                <w:szCs w:val="18"/>
              </w:rPr>
              <w:t xml:space="preserve"> interoperability to support data migration will need to be done. Schedule and Effort estimates will depend upon the </w:t>
            </w:r>
            <w:r>
              <w:rPr>
                <w:rFonts w:eastAsia="Arial" w:cs="Arial"/>
                <w:color w:val="00338D"/>
                <w:sz w:val="18"/>
                <w:szCs w:val="18"/>
              </w:rPr>
              <w:t>future solution the S</w:t>
            </w:r>
            <w:r w:rsidRPr="006F19C8">
              <w:rPr>
                <w:rFonts w:eastAsia="Arial" w:cs="Arial"/>
                <w:color w:val="00338D"/>
                <w:sz w:val="18"/>
                <w:szCs w:val="18"/>
              </w:rPr>
              <w:t xml:space="preserve">tate has picked. A detailed transition / migration plan can only be developed at that point of time. With that in mind, the proposed Unique Identifier solution will leverage open </w:t>
            </w:r>
            <w:r>
              <w:rPr>
                <w:rFonts w:eastAsia="Arial" w:cs="Arial"/>
                <w:color w:val="00338D"/>
                <w:sz w:val="18"/>
                <w:szCs w:val="18"/>
              </w:rPr>
              <w:t xml:space="preserve">industry standards </w:t>
            </w:r>
            <w:r w:rsidRPr="006F19C8">
              <w:rPr>
                <w:rFonts w:eastAsia="Arial" w:cs="Arial"/>
                <w:color w:val="00338D"/>
                <w:sz w:val="18"/>
                <w:szCs w:val="18"/>
              </w:rPr>
              <w:t>when it comes to framework and protocol to reduce vendor/product lock-in risks.</w:t>
            </w:r>
            <w:r>
              <w:rPr>
                <w:rFonts w:eastAsia="Arial" w:cs="Arial"/>
                <w:color w:val="00338D"/>
                <w:sz w:val="18"/>
                <w:szCs w:val="18"/>
              </w:rPr>
              <w:t xml:space="preserve"> Please note that our pricing does not include support required for Software Transition Out.</w:t>
            </w:r>
          </w:p>
          <w:p w14:paraId="1E801FBF" w14:textId="79A29D03" w:rsidR="00A437E6" w:rsidRPr="004F0898" w:rsidRDefault="00CF6EE9" w:rsidP="004F0898">
            <w:pPr>
              <w:autoSpaceDE w:val="0"/>
              <w:autoSpaceDN w:val="0"/>
              <w:adjustRightInd w:val="0"/>
              <w:spacing w:before="240" w:after="120"/>
              <w:rPr>
                <w:rFonts w:eastAsia="Arial" w:cs="Arial"/>
                <w:b/>
                <w:sz w:val="18"/>
                <w:szCs w:val="18"/>
              </w:rPr>
            </w:pPr>
            <w:r w:rsidRPr="004F0898">
              <w:rPr>
                <w:rFonts w:eastAsia="Arial" w:cs="Arial"/>
                <w:b/>
                <w:sz w:val="18"/>
                <w:szCs w:val="18"/>
              </w:rPr>
              <w:t>Services Transition Out:</w:t>
            </w:r>
          </w:p>
          <w:p w14:paraId="6B36593E" w14:textId="77777777" w:rsidR="006F1984" w:rsidRPr="00EC7C01" w:rsidRDefault="006F1984" w:rsidP="006F1984">
            <w:pPr>
              <w:spacing w:after="0" w:line="240" w:lineRule="auto"/>
              <w:contextualSpacing/>
              <w:rPr>
                <w:rFonts w:eastAsia="Arial" w:cs="Arial"/>
                <w:color w:val="00338D"/>
                <w:sz w:val="18"/>
                <w:szCs w:val="18"/>
              </w:rPr>
            </w:pPr>
            <w:r w:rsidRPr="0D9E54F5">
              <w:rPr>
                <w:rFonts w:eastAsia="Arial" w:cs="Arial"/>
                <w:color w:val="00338D"/>
                <w:sz w:val="18"/>
                <w:szCs w:val="18"/>
              </w:rPr>
              <w:t xml:space="preserve">KPMG’s knowledgeable team performs a structured transition, at an agreed upon date, to prepare MDE and CEPI resources to seamlessly and effectively provide maintenance and support services, should the MDE and CEPI decide not to exercise the maintenance and support option, or upon conclusion of the contract period. </w:t>
            </w:r>
          </w:p>
          <w:p w14:paraId="1F0A8188" w14:textId="77777777" w:rsidR="006F1984" w:rsidRPr="00EC7C01" w:rsidRDefault="006F1984" w:rsidP="006F1984">
            <w:pPr>
              <w:spacing w:after="0" w:line="240" w:lineRule="auto"/>
              <w:contextualSpacing/>
              <w:rPr>
                <w:rFonts w:eastAsia="Arial" w:cs="Arial"/>
                <w:color w:val="00338D"/>
                <w:sz w:val="18"/>
                <w:szCs w:val="18"/>
              </w:rPr>
            </w:pPr>
          </w:p>
          <w:p w14:paraId="7118085C" w14:textId="77777777" w:rsidR="006F1984" w:rsidRPr="00EC7C01" w:rsidRDefault="006F1984" w:rsidP="006F1984">
            <w:pPr>
              <w:spacing w:after="0" w:line="240" w:lineRule="auto"/>
              <w:contextualSpacing/>
              <w:rPr>
                <w:rFonts w:eastAsia="Arial" w:cs="Arial"/>
                <w:color w:val="00338D"/>
                <w:sz w:val="18"/>
                <w:szCs w:val="18"/>
              </w:rPr>
            </w:pPr>
            <w:r w:rsidRPr="0D9E54F5">
              <w:rPr>
                <w:rFonts w:eastAsia="Arial" w:cs="Arial"/>
                <w:color w:val="00338D"/>
                <w:sz w:val="18"/>
                <w:szCs w:val="18"/>
              </w:rPr>
              <w:t xml:space="preserve">We leverage our experience in executing transition plans to refine our transition and support processes, reducing the risks of transition between implementation and support for the MDE and CEPI. We work in collaboration with the MDE and CEPI for knowledge transfer from the implementation team to the support team that meets the MDE and CEPI support requirements to lower transition risk. We use this same collaborative approach to transition from implementation project to post-implementation support. </w:t>
            </w:r>
          </w:p>
          <w:p w14:paraId="420595FA" w14:textId="77777777" w:rsidR="006F1984" w:rsidRPr="00EC7C01" w:rsidRDefault="006F1984" w:rsidP="006F1984">
            <w:pPr>
              <w:spacing w:after="0" w:line="240" w:lineRule="auto"/>
              <w:contextualSpacing/>
              <w:rPr>
                <w:rFonts w:eastAsia="Arial" w:cs="Arial"/>
                <w:color w:val="00338D"/>
                <w:sz w:val="18"/>
                <w:szCs w:val="18"/>
              </w:rPr>
            </w:pPr>
          </w:p>
          <w:p w14:paraId="6B5768AA" w14:textId="77777777" w:rsidR="006F1984" w:rsidRPr="00EC7C01" w:rsidRDefault="006F1984" w:rsidP="006F1984">
            <w:pPr>
              <w:spacing w:after="0" w:line="240" w:lineRule="auto"/>
              <w:contextualSpacing/>
              <w:rPr>
                <w:rFonts w:eastAsia="Arial" w:cs="Arial"/>
                <w:color w:val="00338D"/>
                <w:sz w:val="18"/>
                <w:szCs w:val="18"/>
              </w:rPr>
            </w:pPr>
            <w:r w:rsidRPr="0D9E54F5">
              <w:rPr>
                <w:rFonts w:eastAsia="Arial" w:cs="Arial"/>
                <w:color w:val="00338D"/>
                <w:sz w:val="18"/>
                <w:szCs w:val="18"/>
              </w:rPr>
              <w:t>The transition tasks and deliverables, as shown in the table that follows, are an important component of transitioning from the implementation project team to the maintenance and support team. We complete task and activity assignments to individual team members during the initial transition planning and preparation activity.</w:t>
            </w:r>
          </w:p>
          <w:p w14:paraId="13574197" w14:textId="77777777" w:rsidR="006F1984" w:rsidRPr="00EC7C01" w:rsidRDefault="006F1984" w:rsidP="006F1984">
            <w:pPr>
              <w:spacing w:after="0" w:line="240" w:lineRule="auto"/>
              <w:contextualSpacing/>
              <w:rPr>
                <w:rFonts w:eastAsia="Arial" w:cs="Arial"/>
                <w:color w:val="00338D"/>
                <w:sz w:val="18"/>
                <w:szCs w:val="18"/>
              </w:rPr>
            </w:pPr>
          </w:p>
          <w:p w14:paraId="157BECD7" w14:textId="77777777" w:rsidR="006F1984" w:rsidRPr="00EC7C01" w:rsidRDefault="006F1984" w:rsidP="006F1984">
            <w:pPr>
              <w:spacing w:after="0" w:line="240" w:lineRule="auto"/>
              <w:contextualSpacing/>
              <w:rPr>
                <w:rFonts w:eastAsia="Arial" w:cs="Arial"/>
                <w:color w:val="00338D"/>
                <w:sz w:val="18"/>
                <w:szCs w:val="18"/>
              </w:rPr>
            </w:pPr>
            <w:r w:rsidRPr="0D9E54F5">
              <w:rPr>
                <w:rFonts w:eastAsia="Arial" w:cs="Arial"/>
                <w:color w:val="00338D"/>
                <w:sz w:val="18"/>
                <w:szCs w:val="18"/>
              </w:rPr>
              <w:t>The following graphic represents our holistic approach to transition planning.</w:t>
            </w:r>
          </w:p>
          <w:p w14:paraId="4E39A34F" w14:textId="77777777" w:rsidR="006F1984" w:rsidRPr="00EC7C01" w:rsidRDefault="006F1984" w:rsidP="006F1984">
            <w:pPr>
              <w:spacing w:after="0" w:line="240" w:lineRule="auto"/>
              <w:contextualSpacing/>
              <w:rPr>
                <w:rFonts w:eastAsia="Arial" w:cs="Arial"/>
                <w:color w:val="00338D"/>
                <w:sz w:val="18"/>
                <w:szCs w:val="18"/>
              </w:rPr>
            </w:pPr>
          </w:p>
          <w:p w14:paraId="143AF82D" w14:textId="77777777" w:rsidR="006F1984" w:rsidRPr="00EC7C01" w:rsidRDefault="006F1984" w:rsidP="006F1984">
            <w:pPr>
              <w:autoSpaceDE w:val="0"/>
              <w:autoSpaceDN w:val="0"/>
              <w:adjustRightInd w:val="0"/>
              <w:spacing w:after="0" w:line="240" w:lineRule="auto"/>
              <w:contextualSpacing/>
            </w:pPr>
            <w:r>
              <w:rPr>
                <w:noProof/>
              </w:rPr>
              <w:lastRenderedPageBreak/>
              <w:drawing>
                <wp:inline distT="0" distB="0" distL="0" distR="0" wp14:anchorId="3749FBC6" wp14:editId="2C4CB72B">
                  <wp:extent cx="4572000" cy="3848100"/>
                  <wp:effectExtent l="0" t="0" r="0" b="0"/>
                  <wp:docPr id="373143845" name="Picture 37314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3848100"/>
                          </a:xfrm>
                          <a:prstGeom prst="rect">
                            <a:avLst/>
                          </a:prstGeom>
                        </pic:spPr>
                      </pic:pic>
                    </a:graphicData>
                  </a:graphic>
                </wp:inline>
              </w:drawing>
            </w:r>
          </w:p>
          <w:p w14:paraId="354F8E18" w14:textId="77777777" w:rsidR="006F1984" w:rsidRPr="00EC7C01" w:rsidRDefault="006F1984" w:rsidP="006F1984">
            <w:pPr>
              <w:spacing w:after="0" w:line="240" w:lineRule="auto"/>
              <w:contextualSpacing/>
              <w:rPr>
                <w:rFonts w:eastAsia="Arial" w:cs="Arial"/>
                <w:color w:val="00338D"/>
                <w:sz w:val="18"/>
                <w:szCs w:val="18"/>
              </w:rPr>
            </w:pPr>
          </w:p>
          <w:p w14:paraId="480B0DF4" w14:textId="291D2BDD" w:rsidR="006F1984" w:rsidRDefault="006F1984" w:rsidP="006F1984">
            <w:pPr>
              <w:spacing w:after="0" w:line="240" w:lineRule="auto"/>
              <w:rPr>
                <w:rFonts w:eastAsia="Arial" w:cs="Arial"/>
                <w:color w:val="00338D"/>
                <w:sz w:val="18"/>
                <w:szCs w:val="18"/>
              </w:rPr>
            </w:pPr>
            <w:r w:rsidRPr="0D9E54F5">
              <w:rPr>
                <w:rFonts w:eastAsia="Arial" w:cs="Arial"/>
                <w:color w:val="00338D"/>
                <w:sz w:val="18"/>
                <w:szCs w:val="18"/>
              </w:rPr>
              <w:t>Following is a list of the tasks and deliverables involved in KPMG’s transition process.</w:t>
            </w:r>
          </w:p>
          <w:p w14:paraId="5F2876C1" w14:textId="77777777" w:rsidR="00DD37C8" w:rsidRPr="00EC7C01" w:rsidRDefault="00DD37C8" w:rsidP="006F1984">
            <w:pPr>
              <w:spacing w:after="0" w:line="240" w:lineRule="auto"/>
              <w:rPr>
                <w:rFonts w:eastAsia="Arial" w:cs="Arial"/>
                <w:color w:val="00338D"/>
                <w:sz w:val="18"/>
                <w:szCs w:val="18"/>
              </w:rPr>
            </w:pPr>
          </w:p>
          <w:tbl>
            <w:tblPr>
              <w:tblW w:w="0" w:type="auto"/>
              <w:tblInd w:w="120" w:type="dxa"/>
              <w:tblLook w:val="01E0" w:firstRow="1" w:lastRow="1" w:firstColumn="1" w:lastColumn="1" w:noHBand="0" w:noVBand="0"/>
            </w:tblPr>
            <w:tblGrid>
              <w:gridCol w:w="4503"/>
              <w:gridCol w:w="4501"/>
            </w:tblGrid>
            <w:tr w:rsidR="004F0898" w:rsidRPr="004F0898" w14:paraId="0C67AD12" w14:textId="77777777" w:rsidTr="004F0898">
              <w:tc>
                <w:tcPr>
                  <w:tcW w:w="4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231E4F" w14:textId="77777777" w:rsidR="006F1984" w:rsidRPr="004F0898" w:rsidRDefault="006F1984" w:rsidP="004F0898">
                  <w:pPr>
                    <w:jc w:val="center"/>
                    <w:rPr>
                      <w:color w:val="000000" w:themeColor="text1"/>
                      <w:sz w:val="18"/>
                      <w:szCs w:val="18"/>
                    </w:rPr>
                  </w:pPr>
                  <w:r w:rsidRPr="004F0898">
                    <w:rPr>
                      <w:rFonts w:eastAsia="Arial" w:cs="Arial"/>
                      <w:b/>
                      <w:bCs/>
                      <w:color w:val="000000" w:themeColor="text1"/>
                      <w:sz w:val="18"/>
                      <w:szCs w:val="18"/>
                    </w:rPr>
                    <w:t>Tasks</w:t>
                  </w:r>
                </w:p>
              </w:tc>
              <w:tc>
                <w:tcPr>
                  <w:tcW w:w="4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4EA048" w14:textId="77777777" w:rsidR="006F1984" w:rsidRPr="004F0898" w:rsidRDefault="006F1984" w:rsidP="004F0898">
                  <w:pPr>
                    <w:jc w:val="center"/>
                    <w:rPr>
                      <w:color w:val="000000" w:themeColor="text1"/>
                      <w:sz w:val="18"/>
                      <w:szCs w:val="18"/>
                    </w:rPr>
                  </w:pPr>
                  <w:r w:rsidRPr="004F0898">
                    <w:rPr>
                      <w:rFonts w:eastAsia="Arial" w:cs="Arial"/>
                      <w:b/>
                      <w:bCs/>
                      <w:color w:val="000000" w:themeColor="text1"/>
                      <w:sz w:val="18"/>
                      <w:szCs w:val="18"/>
                    </w:rPr>
                    <w:t>Deliverables</w:t>
                  </w:r>
                </w:p>
              </w:tc>
            </w:tr>
            <w:tr w:rsidR="006F1984" w14:paraId="77CDE4DC" w14:textId="77777777" w:rsidTr="004F0898">
              <w:tc>
                <w:tcPr>
                  <w:tcW w:w="4615" w:type="dxa"/>
                  <w:tcBorders>
                    <w:top w:val="single" w:sz="4" w:space="0" w:color="auto"/>
                    <w:left w:val="nil"/>
                    <w:bottom w:val="single" w:sz="8" w:space="0" w:color="00A1DE"/>
                    <w:right w:val="nil"/>
                  </w:tcBorders>
                </w:tcPr>
                <w:p w14:paraId="006746E3"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Perform transition planning</w:t>
                  </w:r>
                </w:p>
                <w:p w14:paraId="1517208C"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Establish transition governance</w:t>
                  </w:r>
                </w:p>
                <w:p w14:paraId="33486989"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Establish and test integrated support processes and tools</w:t>
                  </w:r>
                </w:p>
                <w:p w14:paraId="7C058A55"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Orient support team to service level requirements</w:t>
                  </w:r>
                </w:p>
                <w:p w14:paraId="7B98E1ED"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Perform knowledge transfer</w:t>
                  </w:r>
                </w:p>
                <w:p w14:paraId="33203576"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Confirm support performance capability</w:t>
                  </w:r>
                </w:p>
                <w:p w14:paraId="75AFCD26"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Close-off transition</w:t>
                  </w:r>
                </w:p>
              </w:tc>
              <w:tc>
                <w:tcPr>
                  <w:tcW w:w="4615" w:type="dxa"/>
                  <w:tcBorders>
                    <w:top w:val="single" w:sz="4" w:space="0" w:color="auto"/>
                    <w:left w:val="nil"/>
                    <w:bottom w:val="single" w:sz="8" w:space="0" w:color="00A1DE"/>
                    <w:right w:val="nil"/>
                  </w:tcBorders>
                </w:tcPr>
                <w:p w14:paraId="745E3079"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Transition plan (including knowledge transfer plan)</w:t>
                  </w:r>
                </w:p>
                <w:p w14:paraId="5C7693F5"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Governance structure updated</w:t>
                  </w:r>
                </w:p>
                <w:p w14:paraId="4C16FD89" w14:textId="4A2F3698"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Support processes and tools</w:t>
                  </w:r>
                </w:p>
                <w:p w14:paraId="29096150"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Support scope confirmed</w:t>
                  </w:r>
                </w:p>
                <w:p w14:paraId="67E70D28" w14:textId="104E4AD3"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Knowledge transfer initiated</w:t>
                  </w:r>
                </w:p>
                <w:p w14:paraId="25F0A23B"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Support organization ready to perform support</w:t>
                  </w:r>
                </w:p>
                <w:p w14:paraId="1B8C7E16" w14:textId="77777777" w:rsidR="006F1984" w:rsidRDefault="006F1984" w:rsidP="004F0898">
                  <w:pPr>
                    <w:pStyle w:val="ListParagraph"/>
                    <w:numPr>
                      <w:ilvl w:val="0"/>
                      <w:numId w:val="121"/>
                    </w:numPr>
                    <w:rPr>
                      <w:rFonts w:eastAsia="Arial" w:cs="Arial"/>
                      <w:color w:val="00338D"/>
                      <w:sz w:val="18"/>
                      <w:szCs w:val="18"/>
                    </w:rPr>
                  </w:pPr>
                  <w:r w:rsidRPr="0D9E54F5">
                    <w:rPr>
                      <w:rFonts w:eastAsia="Arial" w:cs="Arial"/>
                      <w:color w:val="00338D"/>
                      <w:sz w:val="18"/>
                      <w:szCs w:val="18"/>
                    </w:rPr>
                    <w:t>Transition completed</w:t>
                  </w:r>
                </w:p>
              </w:tc>
            </w:tr>
          </w:tbl>
          <w:p w14:paraId="30D1C814" w14:textId="77777777" w:rsidR="006F1984" w:rsidRPr="00EC7C01" w:rsidRDefault="006F1984" w:rsidP="006F1984">
            <w:pPr>
              <w:spacing w:after="0" w:line="240" w:lineRule="auto"/>
              <w:rPr>
                <w:rFonts w:eastAsia="Arial" w:cs="Arial"/>
                <w:color w:val="00338D"/>
                <w:sz w:val="18"/>
                <w:szCs w:val="18"/>
              </w:rPr>
            </w:pPr>
          </w:p>
          <w:p w14:paraId="0A704D6E" w14:textId="77777777" w:rsidR="007B60D8" w:rsidRDefault="006F1984" w:rsidP="007B60D8">
            <w:pPr>
              <w:autoSpaceDE w:val="0"/>
              <w:autoSpaceDN w:val="0"/>
              <w:adjustRightInd w:val="0"/>
              <w:spacing w:after="0" w:line="240" w:lineRule="auto"/>
              <w:rPr>
                <w:rFonts w:eastAsia="Arial" w:cs="Arial"/>
                <w:sz w:val="18"/>
                <w:szCs w:val="18"/>
              </w:rPr>
            </w:pPr>
            <w:r w:rsidRPr="0D9E54F5">
              <w:rPr>
                <w:rFonts w:eastAsia="Arial" w:cs="Arial"/>
                <w:color w:val="00338D"/>
                <w:sz w:val="18"/>
                <w:szCs w:val="18"/>
              </w:rPr>
              <w:t>Knowledge transfer to MDE and CEPI staff is a key component of our transition activities. KPMG provides knowledgeable and skilled personnel to provide knowledge transfer services, including training classes for MDE and CEPI employees and contractors.</w:t>
            </w:r>
            <w:r w:rsidR="007B60D8">
              <w:rPr>
                <w:rFonts w:eastAsia="Arial" w:cs="Arial"/>
                <w:color w:val="00338D"/>
                <w:sz w:val="18"/>
                <w:szCs w:val="18"/>
              </w:rPr>
              <w:t xml:space="preserve"> </w:t>
            </w:r>
            <w:r w:rsidR="007B60D8">
              <w:rPr>
                <w:rFonts w:eastAsia="Arial" w:cs="Arial"/>
                <w:color w:val="00338D"/>
                <w:sz w:val="18"/>
                <w:szCs w:val="18"/>
              </w:rPr>
              <w:t>Please note that our pricing includes services transition out provided the state transitions to the new service provider within the support and maintenance contract period (Year 2 – 5 and optionally Year 6 – 10)</w:t>
            </w:r>
          </w:p>
          <w:p w14:paraId="344E98F0" w14:textId="11573926" w:rsidR="00A437E6" w:rsidRDefault="00A437E6" w:rsidP="006F1984">
            <w:pPr>
              <w:autoSpaceDE w:val="0"/>
              <w:autoSpaceDN w:val="0"/>
              <w:adjustRightInd w:val="0"/>
              <w:spacing w:after="0" w:line="240" w:lineRule="auto"/>
              <w:rPr>
                <w:rFonts w:eastAsia="Arial" w:cs="Arial"/>
                <w:sz w:val="18"/>
                <w:szCs w:val="18"/>
              </w:rPr>
            </w:pPr>
          </w:p>
          <w:p w14:paraId="464DEBA8" w14:textId="77777777" w:rsidR="00A437E6" w:rsidRDefault="00A437E6" w:rsidP="0000616A">
            <w:pPr>
              <w:spacing w:after="0"/>
              <w:contextualSpacing/>
              <w:rPr>
                <w:rFonts w:cs="Arial"/>
              </w:rPr>
            </w:pPr>
          </w:p>
        </w:tc>
      </w:tr>
      <w:bookmarkEnd w:id="0"/>
      <w:bookmarkEnd w:id="1"/>
      <w:bookmarkEnd w:id="2"/>
    </w:tbl>
    <w:p w14:paraId="395C894E" w14:textId="77777777" w:rsidR="00A437E6" w:rsidRDefault="00A437E6" w:rsidP="00AE3C9C">
      <w:pPr>
        <w:rPr>
          <w:rFonts w:cs="Arial"/>
          <w:sz w:val="18"/>
          <w:szCs w:val="18"/>
          <w:highlight w:val="green"/>
        </w:rPr>
      </w:pPr>
    </w:p>
    <w:sectPr w:rsidR="00A437E6">
      <w:headerReference w:type="even" r:id="rId12"/>
      <w:headerReference w:type="default" r:id="rId13"/>
      <w:footerReference w:type="even" r:id="rId14"/>
      <w:footerReference w:type="default" r:id="rId15"/>
      <w:headerReference w:type="first" r:id="rId16"/>
      <w:footerReference w:type="first" r:id="rId17"/>
      <w:pgSz w:w="12240" w:h="15840" w:code="1"/>
      <w:pgMar w:top="1800" w:right="1440" w:bottom="1354" w:left="1440" w:header="72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280E5" w14:textId="77777777" w:rsidR="006E11C8" w:rsidRDefault="006E11C8" w:rsidP="00A95ACC">
      <w:pPr>
        <w:spacing w:after="0" w:line="240" w:lineRule="auto"/>
      </w:pPr>
      <w:r>
        <w:separator/>
      </w:r>
    </w:p>
  </w:endnote>
  <w:endnote w:type="continuationSeparator" w:id="0">
    <w:p w14:paraId="2DFCFE1C" w14:textId="77777777" w:rsidR="006E11C8" w:rsidRDefault="006E11C8" w:rsidP="00A95ACC">
      <w:pPr>
        <w:spacing w:after="0" w:line="240" w:lineRule="auto"/>
      </w:pPr>
      <w:r>
        <w:continuationSeparator/>
      </w:r>
    </w:p>
  </w:endnote>
  <w:endnote w:type="continuationNotice" w:id="1">
    <w:p w14:paraId="587E84D2" w14:textId="77777777" w:rsidR="006E11C8" w:rsidRDefault="006E1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9999999">
    <w:altName w:val="Cambria"/>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453BE8" w:rsidRDefault="00453BE8">
    <w:pPr>
      <w:pStyle w:val="Footer"/>
    </w:pPr>
  </w:p>
  <w:p w14:paraId="5FFF2230" w14:textId="77777777" w:rsidR="00453BE8" w:rsidRDefault="00453B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453BE8" w:rsidRPr="00F35820" w:rsidRDefault="00453BE8"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CF6EE9">
          <w:rPr>
            <w:rFonts w:cs="Arial"/>
            <w:noProof/>
            <w:sz w:val="18"/>
            <w:szCs w:val="18"/>
          </w:rPr>
          <w:t>2</w:t>
        </w:r>
        <w:r>
          <w:rPr>
            <w:rFonts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453BE8" w:rsidRPr="00F35820" w:rsidRDefault="00453BE8"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6F19C8">
      <w:rPr>
        <w:noProof/>
        <w:sz w:val="18"/>
        <w:szCs w:val="18"/>
      </w:rPr>
      <w:t>1</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C1465" w14:textId="77777777" w:rsidR="006E11C8" w:rsidRDefault="006E11C8" w:rsidP="00A95ACC">
      <w:pPr>
        <w:spacing w:after="0" w:line="240" w:lineRule="auto"/>
      </w:pPr>
      <w:r>
        <w:separator/>
      </w:r>
    </w:p>
  </w:footnote>
  <w:footnote w:type="continuationSeparator" w:id="0">
    <w:p w14:paraId="089A9768" w14:textId="77777777" w:rsidR="006E11C8" w:rsidRDefault="006E11C8" w:rsidP="00A95ACC">
      <w:pPr>
        <w:spacing w:after="0" w:line="240" w:lineRule="auto"/>
      </w:pPr>
      <w:r>
        <w:continuationSeparator/>
      </w:r>
    </w:p>
  </w:footnote>
  <w:footnote w:type="continuationNotice" w:id="1">
    <w:p w14:paraId="330EC9A6" w14:textId="77777777" w:rsidR="006E11C8" w:rsidRDefault="006E1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453BE8" w:rsidRDefault="00453BE8">
    <w:pPr>
      <w:pStyle w:val="Header"/>
    </w:pPr>
  </w:p>
  <w:p w14:paraId="02D47FD9" w14:textId="77777777" w:rsidR="00453BE8" w:rsidRDefault="00453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453BE8" w:rsidRDefault="00453BE8"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453BE8" w:rsidRDefault="00453BE8"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453BE8" w:rsidRDefault="00453B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19807979" w:rsidR="00453BE8" w:rsidRDefault="00AC5F4A"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59264" behindDoc="0" locked="0" layoutInCell="1" allowOverlap="1" wp14:anchorId="70C0C616" wp14:editId="2951C51E">
              <wp:simplePos x="0" y="0"/>
              <wp:positionH relativeFrom="page">
                <wp:align>left</wp:align>
              </wp:positionH>
              <wp:positionV relativeFrom="page">
                <wp:align>top</wp:align>
              </wp:positionV>
              <wp:extent cx="914400" cy="2743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5651C1B1" w14:textId="77777777" w:rsidR="00AC5F4A" w:rsidRPr="00F77621" w:rsidRDefault="00AC5F4A" w:rsidP="00AC5F4A">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C0C616" id="_x0000_t202" coordsize="21600,21600" o:spt="202" path="m,l,21600r21600,l21600,xe">
              <v:stroke joinstyle="miter"/>
              <v:path gradientshapeok="t" o:connecttype="rect"/>
            </v:shapetype>
            <v:shape id="Text Box 2" o:spid="_x0000_s1026" type="#_x0000_t202" style="position:absolute;left:0;text-align:left;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zPUPwIAAHg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4dzPUPwIAAHgEAAAOAAAA&#10;AAAAAAAAAAAAAC4CAABkcnMvZTJvRG9jLnhtbFBLAQItABQABgAIAAAAIQA/Myb/3AAAAAQBAAAP&#10;AAAAAAAAAAAAAAAAAJkEAABkcnMvZG93bnJldi54bWxQSwUGAAAAAAQABADzAAAAogUAAAAA&#10;" fillcolor="white [3201]" stroked="f" strokeweight=".5pt">
              <v:textbox>
                <w:txbxContent>
                  <w:p w14:paraId="5651C1B1" w14:textId="77777777" w:rsidR="00AC5F4A" w:rsidRPr="00F77621" w:rsidRDefault="00AC5F4A" w:rsidP="00AC5F4A">
                    <w:pPr>
                      <w:jc w:val="center"/>
                      <w:rPr>
                        <w:b/>
                        <w:bCs/>
                        <w:color w:val="00338D"/>
                      </w:rPr>
                    </w:pPr>
                    <w:r w:rsidRPr="00F77621">
                      <w:rPr>
                        <w:b/>
                        <w:bCs/>
                        <w:color w:val="00338D"/>
                      </w:rPr>
                      <w:t>KPMG LLP</w:t>
                    </w:r>
                  </w:p>
                </w:txbxContent>
              </v:textbox>
              <w10:wrap anchorx="page" anchory="page"/>
            </v:shape>
          </w:pict>
        </mc:Fallback>
      </mc:AlternateContent>
    </w:r>
    <w:r w:rsidR="00453BE8">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453BE8" w:rsidRDefault="00453BE8"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453BE8" w:rsidRDefault="00453BE8"/>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29"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2"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4"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7"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0"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1"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2"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3"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6"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8"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1"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2"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3"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7"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8" w15:restartNumberingAfterBreak="0">
    <w:nsid w:val="3BFA3194"/>
    <w:multiLevelType w:val="multilevel"/>
    <w:tmpl w:val="80720688"/>
    <w:lvl w:ilvl="0">
      <w:start w:val="1"/>
      <w:numFmt w:val="bullet"/>
      <w:lvlText w:val="―"/>
      <w:lvlJc w:val="left"/>
      <w:pPr>
        <w:tabs>
          <w:tab w:val="num" w:pos="340"/>
        </w:tabs>
        <w:ind w:left="340" w:hanging="340"/>
      </w:pPr>
      <w:rPr>
        <w:rFonts w:ascii="Arial" w:hAnsi="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6901D9"/>
    <w:multiLevelType w:val="multilevel"/>
    <w:tmpl w:val="08981B14"/>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3"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4"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5"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6"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7"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8"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79C2525"/>
    <w:multiLevelType w:val="multilevel"/>
    <w:tmpl w:val="9F3E941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0"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2"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3"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D94F82A"/>
    <w:multiLevelType w:val="hybridMultilevel"/>
    <w:tmpl w:val="7C506CF8"/>
    <w:lvl w:ilvl="0" w:tplc="C2280E66">
      <w:start w:val="1"/>
      <w:numFmt w:val="bullet"/>
      <w:lvlText w:val=""/>
      <w:lvlJc w:val="left"/>
      <w:pPr>
        <w:ind w:left="720" w:hanging="360"/>
      </w:pPr>
      <w:rPr>
        <w:rFonts w:ascii="Symbol" w:hAnsi="Symbol" w:hint="default"/>
      </w:rPr>
    </w:lvl>
    <w:lvl w:ilvl="1" w:tplc="B9627E38">
      <w:start w:val="1"/>
      <w:numFmt w:val="bullet"/>
      <w:lvlText w:val="o"/>
      <w:lvlJc w:val="left"/>
      <w:pPr>
        <w:ind w:left="1440" w:hanging="360"/>
      </w:pPr>
      <w:rPr>
        <w:rFonts w:ascii="Courier New" w:hAnsi="Courier New" w:hint="default"/>
      </w:rPr>
    </w:lvl>
    <w:lvl w:ilvl="2" w:tplc="C4DA6BA8">
      <w:start w:val="1"/>
      <w:numFmt w:val="bullet"/>
      <w:lvlText w:val=""/>
      <w:lvlJc w:val="left"/>
      <w:pPr>
        <w:ind w:left="2160" w:hanging="360"/>
      </w:pPr>
      <w:rPr>
        <w:rFonts w:ascii="Wingdings" w:hAnsi="Wingdings" w:hint="default"/>
      </w:rPr>
    </w:lvl>
    <w:lvl w:ilvl="3" w:tplc="A61C2666">
      <w:start w:val="1"/>
      <w:numFmt w:val="bullet"/>
      <w:lvlText w:val=""/>
      <w:lvlJc w:val="left"/>
      <w:pPr>
        <w:ind w:left="2880" w:hanging="360"/>
      </w:pPr>
      <w:rPr>
        <w:rFonts w:ascii="Symbol" w:hAnsi="Symbol" w:hint="default"/>
      </w:rPr>
    </w:lvl>
    <w:lvl w:ilvl="4" w:tplc="6C1CC564">
      <w:start w:val="1"/>
      <w:numFmt w:val="bullet"/>
      <w:lvlText w:val="o"/>
      <w:lvlJc w:val="left"/>
      <w:pPr>
        <w:ind w:left="3600" w:hanging="360"/>
      </w:pPr>
      <w:rPr>
        <w:rFonts w:ascii="Courier New" w:hAnsi="Courier New" w:hint="default"/>
      </w:rPr>
    </w:lvl>
    <w:lvl w:ilvl="5" w:tplc="17C43AD4">
      <w:start w:val="1"/>
      <w:numFmt w:val="bullet"/>
      <w:lvlText w:val=""/>
      <w:lvlJc w:val="left"/>
      <w:pPr>
        <w:ind w:left="4320" w:hanging="360"/>
      </w:pPr>
      <w:rPr>
        <w:rFonts w:ascii="Wingdings" w:hAnsi="Wingdings" w:hint="default"/>
      </w:rPr>
    </w:lvl>
    <w:lvl w:ilvl="6" w:tplc="688E8206">
      <w:start w:val="1"/>
      <w:numFmt w:val="bullet"/>
      <w:lvlText w:val=""/>
      <w:lvlJc w:val="left"/>
      <w:pPr>
        <w:ind w:left="5040" w:hanging="360"/>
      </w:pPr>
      <w:rPr>
        <w:rFonts w:ascii="Symbol" w:hAnsi="Symbol" w:hint="default"/>
      </w:rPr>
    </w:lvl>
    <w:lvl w:ilvl="7" w:tplc="BC689A92">
      <w:start w:val="1"/>
      <w:numFmt w:val="bullet"/>
      <w:lvlText w:val="o"/>
      <w:lvlJc w:val="left"/>
      <w:pPr>
        <w:ind w:left="5760" w:hanging="360"/>
      </w:pPr>
      <w:rPr>
        <w:rFonts w:ascii="Courier New" w:hAnsi="Courier New" w:hint="default"/>
      </w:rPr>
    </w:lvl>
    <w:lvl w:ilvl="8" w:tplc="6FB85D96">
      <w:start w:val="1"/>
      <w:numFmt w:val="bullet"/>
      <w:lvlText w:val=""/>
      <w:lvlJc w:val="left"/>
      <w:pPr>
        <w:ind w:left="6480" w:hanging="360"/>
      </w:pPr>
      <w:rPr>
        <w:rFonts w:ascii="Wingdings" w:hAnsi="Wingdings" w:hint="default"/>
      </w:rPr>
    </w:lvl>
  </w:abstractNum>
  <w:abstractNum w:abstractNumId="105"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6"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7"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8"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9"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77392266"/>
    <w:multiLevelType w:val="hybridMultilevel"/>
    <w:tmpl w:val="DA0A3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5"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7"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8"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9"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2"/>
  </w:num>
  <w:num w:numId="2">
    <w:abstractNumId w:val="86"/>
  </w:num>
  <w:num w:numId="3">
    <w:abstractNumId w:val="33"/>
  </w:num>
  <w:num w:numId="4">
    <w:abstractNumId w:val="114"/>
  </w:num>
  <w:num w:numId="5">
    <w:abstractNumId w:val="85"/>
  </w:num>
  <w:num w:numId="6">
    <w:abstractNumId w:val="93"/>
  </w:num>
  <w:num w:numId="7">
    <w:abstractNumId w:val="57"/>
  </w:num>
  <w:num w:numId="8">
    <w:abstractNumId w:val="31"/>
  </w:num>
  <w:num w:numId="9">
    <w:abstractNumId w:val="53"/>
  </w:num>
  <w:num w:numId="10">
    <w:abstractNumId w:val="49"/>
  </w:num>
  <w:num w:numId="11">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8"/>
  </w:num>
  <w:num w:numId="13">
    <w:abstractNumId w:val="27"/>
  </w:num>
  <w:num w:numId="14">
    <w:abstractNumId w:val="63"/>
  </w:num>
  <w:num w:numId="15">
    <w:abstractNumId w:val="66"/>
  </w:num>
  <w:num w:numId="16">
    <w:abstractNumId w:val="7"/>
  </w:num>
  <w:num w:numId="17">
    <w:abstractNumId w:val="96"/>
  </w:num>
  <w:num w:numId="18">
    <w:abstractNumId w:val="94"/>
  </w:num>
  <w:num w:numId="19">
    <w:abstractNumId w:val="12"/>
  </w:num>
  <w:num w:numId="20">
    <w:abstractNumId w:val="1"/>
  </w:num>
  <w:num w:numId="21">
    <w:abstractNumId w:val="80"/>
  </w:num>
  <w:num w:numId="22">
    <w:abstractNumId w:val="119"/>
  </w:num>
  <w:num w:numId="23">
    <w:abstractNumId w:val="102"/>
  </w:num>
  <w:num w:numId="24">
    <w:abstractNumId w:val="0"/>
  </w:num>
  <w:num w:numId="25">
    <w:abstractNumId w:val="91"/>
  </w:num>
  <w:num w:numId="26">
    <w:abstractNumId w:val="23"/>
  </w:num>
  <w:num w:numId="27">
    <w:abstractNumId w:val="43"/>
  </w:num>
  <w:num w:numId="28">
    <w:abstractNumId w:val="72"/>
  </w:num>
  <w:num w:numId="29">
    <w:abstractNumId w:val="17"/>
  </w:num>
  <w:num w:numId="30">
    <w:abstractNumId w:val="110"/>
  </w:num>
  <w:num w:numId="31">
    <w:abstractNumId w:val="97"/>
  </w:num>
  <w:num w:numId="32">
    <w:abstractNumId w:val="68"/>
  </w:num>
  <w:num w:numId="33">
    <w:abstractNumId w:val="9"/>
  </w:num>
  <w:num w:numId="34">
    <w:abstractNumId w:val="30"/>
  </w:num>
  <w:num w:numId="35">
    <w:abstractNumId w:val="55"/>
  </w:num>
  <w:num w:numId="36">
    <w:abstractNumId w:val="76"/>
  </w:num>
  <w:num w:numId="37">
    <w:abstractNumId w:val="118"/>
  </w:num>
  <w:num w:numId="38">
    <w:abstractNumId w:val="47"/>
  </w:num>
  <w:num w:numId="39">
    <w:abstractNumId w:val="5"/>
  </w:num>
  <w:num w:numId="40">
    <w:abstractNumId w:val="101"/>
  </w:num>
  <w:num w:numId="41">
    <w:abstractNumId w:val="21"/>
  </w:num>
  <w:num w:numId="42">
    <w:abstractNumId w:val="21"/>
  </w:num>
  <w:num w:numId="43">
    <w:abstractNumId w:val="11"/>
  </w:num>
  <w:num w:numId="44">
    <w:abstractNumId w:val="60"/>
  </w:num>
  <w:num w:numId="45">
    <w:abstractNumId w:val="14"/>
  </w:num>
  <w:num w:numId="46">
    <w:abstractNumId w:val="83"/>
  </w:num>
  <w:num w:numId="47">
    <w:abstractNumId w:val="84"/>
  </w:num>
  <w:num w:numId="48">
    <w:abstractNumId w:val="61"/>
  </w:num>
  <w:num w:numId="49">
    <w:abstractNumId w:val="41"/>
  </w:num>
  <w:num w:numId="50">
    <w:abstractNumId w:val="59"/>
  </w:num>
  <w:num w:numId="51">
    <w:abstractNumId w:val="65"/>
  </w:num>
  <w:num w:numId="52">
    <w:abstractNumId w:val="95"/>
  </w:num>
  <w:num w:numId="53">
    <w:abstractNumId w:val="25"/>
  </w:num>
  <w:num w:numId="54">
    <w:abstractNumId w:val="77"/>
  </w:num>
  <w:num w:numId="55">
    <w:abstractNumId w:val="32"/>
  </w:num>
  <w:num w:numId="56">
    <w:abstractNumId w:val="3"/>
  </w:num>
  <w:num w:numId="57">
    <w:abstractNumId w:val="109"/>
  </w:num>
  <w:num w:numId="58">
    <w:abstractNumId w:val="26"/>
  </w:num>
  <w:num w:numId="59">
    <w:abstractNumId w:val="79"/>
  </w:num>
  <w:num w:numId="60">
    <w:abstractNumId w:val="115"/>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5"/>
  </w:num>
  <w:num w:numId="64">
    <w:abstractNumId w:val="34"/>
  </w:num>
  <w:num w:numId="65">
    <w:abstractNumId w:val="39"/>
  </w:num>
  <w:num w:numId="66">
    <w:abstractNumId w:val="74"/>
  </w:num>
  <w:num w:numId="67">
    <w:abstractNumId w:val="54"/>
  </w:num>
  <w:num w:numId="68">
    <w:abstractNumId w:val="29"/>
  </w:num>
  <w:num w:numId="69">
    <w:abstractNumId w:val="24"/>
  </w:num>
  <w:num w:numId="70">
    <w:abstractNumId w:val="37"/>
  </w:num>
  <w:num w:numId="71">
    <w:abstractNumId w:val="13"/>
  </w:num>
  <w:num w:numId="72">
    <w:abstractNumId w:val="38"/>
  </w:num>
  <w:num w:numId="73">
    <w:abstractNumId w:val="103"/>
  </w:num>
  <w:num w:numId="74">
    <w:abstractNumId w:val="46"/>
  </w:num>
  <w:num w:numId="75">
    <w:abstractNumId w:val="20"/>
  </w:num>
  <w:num w:numId="76">
    <w:abstractNumId w:val="40"/>
  </w:num>
  <w:num w:numId="77">
    <w:abstractNumId w:val="81"/>
  </w:num>
  <w:num w:numId="78">
    <w:abstractNumId w:val="10"/>
  </w:num>
  <w:num w:numId="79">
    <w:abstractNumId w:val="2"/>
  </w:num>
  <w:num w:numId="80">
    <w:abstractNumId w:val="50"/>
  </w:num>
  <w:num w:numId="81">
    <w:abstractNumId w:val="73"/>
  </w:num>
  <w:num w:numId="82">
    <w:abstractNumId w:val="48"/>
  </w:num>
  <w:num w:numId="83">
    <w:abstractNumId w:val="69"/>
  </w:num>
  <w:num w:numId="84">
    <w:abstractNumId w:val="113"/>
  </w:num>
  <w:num w:numId="85">
    <w:abstractNumId w:val="56"/>
  </w:num>
  <w:num w:numId="86">
    <w:abstractNumId w:val="87"/>
  </w:num>
  <w:num w:numId="87">
    <w:abstractNumId w:val="116"/>
  </w:num>
  <w:num w:numId="88">
    <w:abstractNumId w:val="117"/>
  </w:num>
  <w:num w:numId="89">
    <w:abstractNumId w:val="36"/>
  </w:num>
  <w:num w:numId="90">
    <w:abstractNumId w:val="96"/>
  </w:num>
  <w:num w:numId="91">
    <w:abstractNumId w:val="96"/>
  </w:num>
  <w:num w:numId="92">
    <w:abstractNumId w:val="112"/>
  </w:num>
  <w:num w:numId="93">
    <w:abstractNumId w:val="100"/>
  </w:num>
  <w:num w:numId="94">
    <w:abstractNumId w:val="4"/>
  </w:num>
  <w:num w:numId="95">
    <w:abstractNumId w:val="64"/>
  </w:num>
  <w:num w:numId="96">
    <w:abstractNumId w:val="6"/>
  </w:num>
  <w:num w:numId="97">
    <w:abstractNumId w:val="51"/>
  </w:num>
  <w:num w:numId="98">
    <w:abstractNumId w:val="82"/>
  </w:num>
  <w:num w:numId="99">
    <w:abstractNumId w:val="67"/>
  </w:num>
  <w:num w:numId="100">
    <w:abstractNumId w:val="70"/>
  </w:num>
  <w:num w:numId="101">
    <w:abstractNumId w:val="107"/>
  </w:num>
  <w:num w:numId="102">
    <w:abstractNumId w:val="108"/>
  </w:num>
  <w:num w:numId="103">
    <w:abstractNumId w:val="8"/>
  </w:num>
  <w:num w:numId="104">
    <w:abstractNumId w:val="15"/>
  </w:num>
  <w:num w:numId="105">
    <w:abstractNumId w:val="106"/>
  </w:num>
  <w:num w:numId="106">
    <w:abstractNumId w:val="45"/>
  </w:num>
  <w:num w:numId="107">
    <w:abstractNumId w:val="52"/>
  </w:num>
  <w:num w:numId="108">
    <w:abstractNumId w:val="44"/>
  </w:num>
  <w:num w:numId="109">
    <w:abstractNumId w:val="71"/>
  </w:num>
  <w:num w:numId="110">
    <w:abstractNumId w:val="19"/>
  </w:num>
  <w:num w:numId="111">
    <w:abstractNumId w:val="35"/>
  </w:num>
  <w:num w:numId="112">
    <w:abstractNumId w:val="98"/>
  </w:num>
  <w:num w:numId="113">
    <w:abstractNumId w:val="18"/>
  </w:num>
  <w:num w:numId="114">
    <w:abstractNumId w:val="22"/>
  </w:num>
  <w:num w:numId="115">
    <w:abstractNumId w:val="89"/>
  </w:num>
  <w:num w:numId="116">
    <w:abstractNumId w:val="62"/>
  </w:num>
  <w:num w:numId="117">
    <w:abstractNumId w:val="21"/>
  </w:num>
  <w:num w:numId="118">
    <w:abstractNumId w:val="78"/>
  </w:num>
  <w:num w:numId="119">
    <w:abstractNumId w:val="88"/>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04"/>
  </w:num>
  <w:num w:numId="122">
    <w:abstractNumId w:val="111"/>
  </w:num>
  <w:num w:numId="123">
    <w:abstractNumId w:val="99"/>
  </w:num>
  <w:num w:numId="124">
    <w:abstractNumId w:val="90"/>
  </w:num>
  <w:num w:numId="125">
    <w:abstractNumId w:val="5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2196"/>
    <w:rsid w:val="000024C8"/>
    <w:rsid w:val="00004EA4"/>
    <w:rsid w:val="00005D23"/>
    <w:rsid w:val="0000616A"/>
    <w:rsid w:val="000065C2"/>
    <w:rsid w:val="000065CB"/>
    <w:rsid w:val="000100E1"/>
    <w:rsid w:val="00010517"/>
    <w:rsid w:val="00010E29"/>
    <w:rsid w:val="00011DAD"/>
    <w:rsid w:val="00013764"/>
    <w:rsid w:val="000151ED"/>
    <w:rsid w:val="00016710"/>
    <w:rsid w:val="000173B9"/>
    <w:rsid w:val="00017767"/>
    <w:rsid w:val="00020747"/>
    <w:rsid w:val="00023D3C"/>
    <w:rsid w:val="00024108"/>
    <w:rsid w:val="000245CA"/>
    <w:rsid w:val="00025F00"/>
    <w:rsid w:val="000303D1"/>
    <w:rsid w:val="00031320"/>
    <w:rsid w:val="00031875"/>
    <w:rsid w:val="0003295D"/>
    <w:rsid w:val="00032B37"/>
    <w:rsid w:val="00035BC9"/>
    <w:rsid w:val="0003684A"/>
    <w:rsid w:val="00037465"/>
    <w:rsid w:val="00040996"/>
    <w:rsid w:val="00041469"/>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663A"/>
    <w:rsid w:val="00066CD4"/>
    <w:rsid w:val="00067985"/>
    <w:rsid w:val="00070A19"/>
    <w:rsid w:val="00071ABA"/>
    <w:rsid w:val="00072E4D"/>
    <w:rsid w:val="00074263"/>
    <w:rsid w:val="00075AE5"/>
    <w:rsid w:val="000760D5"/>
    <w:rsid w:val="000769B9"/>
    <w:rsid w:val="00076D2C"/>
    <w:rsid w:val="00077152"/>
    <w:rsid w:val="000776FE"/>
    <w:rsid w:val="000802FC"/>
    <w:rsid w:val="00080A37"/>
    <w:rsid w:val="00080CD5"/>
    <w:rsid w:val="0008222C"/>
    <w:rsid w:val="00082C5F"/>
    <w:rsid w:val="00082D46"/>
    <w:rsid w:val="00087837"/>
    <w:rsid w:val="0009015C"/>
    <w:rsid w:val="00090F3C"/>
    <w:rsid w:val="0009347C"/>
    <w:rsid w:val="00093772"/>
    <w:rsid w:val="00094DE8"/>
    <w:rsid w:val="00095583"/>
    <w:rsid w:val="000955A5"/>
    <w:rsid w:val="000A0DBF"/>
    <w:rsid w:val="000A15CF"/>
    <w:rsid w:val="000A1CC2"/>
    <w:rsid w:val="000A1F94"/>
    <w:rsid w:val="000A2A93"/>
    <w:rsid w:val="000A2EDF"/>
    <w:rsid w:val="000A33F0"/>
    <w:rsid w:val="000A608B"/>
    <w:rsid w:val="000A743A"/>
    <w:rsid w:val="000A7918"/>
    <w:rsid w:val="000B05D2"/>
    <w:rsid w:val="000B2427"/>
    <w:rsid w:val="000B2C43"/>
    <w:rsid w:val="000B3A03"/>
    <w:rsid w:val="000B426E"/>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C28"/>
    <w:rsid w:val="0016529D"/>
    <w:rsid w:val="001653DD"/>
    <w:rsid w:val="001658CE"/>
    <w:rsid w:val="001705B8"/>
    <w:rsid w:val="001717EA"/>
    <w:rsid w:val="00171C1A"/>
    <w:rsid w:val="00173218"/>
    <w:rsid w:val="00174D3C"/>
    <w:rsid w:val="00174E03"/>
    <w:rsid w:val="00175881"/>
    <w:rsid w:val="0018086D"/>
    <w:rsid w:val="00181E15"/>
    <w:rsid w:val="001822CF"/>
    <w:rsid w:val="00182319"/>
    <w:rsid w:val="00182D9A"/>
    <w:rsid w:val="0018346A"/>
    <w:rsid w:val="001855A0"/>
    <w:rsid w:val="00186251"/>
    <w:rsid w:val="00190661"/>
    <w:rsid w:val="00190744"/>
    <w:rsid w:val="00190F09"/>
    <w:rsid w:val="001914B9"/>
    <w:rsid w:val="00191A1C"/>
    <w:rsid w:val="00193481"/>
    <w:rsid w:val="0019422F"/>
    <w:rsid w:val="0019524F"/>
    <w:rsid w:val="0019563D"/>
    <w:rsid w:val="00197598"/>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47C6"/>
    <w:rsid w:val="001D5191"/>
    <w:rsid w:val="001D59E7"/>
    <w:rsid w:val="001D606C"/>
    <w:rsid w:val="001D763B"/>
    <w:rsid w:val="001D7DC8"/>
    <w:rsid w:val="001E01D2"/>
    <w:rsid w:val="001E15DD"/>
    <w:rsid w:val="001E1D16"/>
    <w:rsid w:val="001E2D6C"/>
    <w:rsid w:val="001E2EFF"/>
    <w:rsid w:val="001E415A"/>
    <w:rsid w:val="001E49D1"/>
    <w:rsid w:val="001E66A6"/>
    <w:rsid w:val="001E6C55"/>
    <w:rsid w:val="001E7326"/>
    <w:rsid w:val="001F017E"/>
    <w:rsid w:val="001F1483"/>
    <w:rsid w:val="001F1C1B"/>
    <w:rsid w:val="001F2D1E"/>
    <w:rsid w:val="001F3463"/>
    <w:rsid w:val="001F56D7"/>
    <w:rsid w:val="002019C8"/>
    <w:rsid w:val="00201B05"/>
    <w:rsid w:val="00201C68"/>
    <w:rsid w:val="00201D67"/>
    <w:rsid w:val="0020419F"/>
    <w:rsid w:val="00204F30"/>
    <w:rsid w:val="00204FCA"/>
    <w:rsid w:val="00205BB6"/>
    <w:rsid w:val="00206687"/>
    <w:rsid w:val="00207EAB"/>
    <w:rsid w:val="00211123"/>
    <w:rsid w:val="00212AD0"/>
    <w:rsid w:val="002159E8"/>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F06"/>
    <w:rsid w:val="002556C0"/>
    <w:rsid w:val="0025655E"/>
    <w:rsid w:val="002610E3"/>
    <w:rsid w:val="0026388D"/>
    <w:rsid w:val="002652A7"/>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5F2"/>
    <w:rsid w:val="002C69C8"/>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F34AE"/>
    <w:rsid w:val="002F398C"/>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3BA"/>
    <w:rsid w:val="00341A64"/>
    <w:rsid w:val="003427F6"/>
    <w:rsid w:val="00344DEC"/>
    <w:rsid w:val="003473D5"/>
    <w:rsid w:val="00347400"/>
    <w:rsid w:val="00347C4D"/>
    <w:rsid w:val="003501EF"/>
    <w:rsid w:val="00351B84"/>
    <w:rsid w:val="003522BC"/>
    <w:rsid w:val="00356126"/>
    <w:rsid w:val="0035700A"/>
    <w:rsid w:val="003579D1"/>
    <w:rsid w:val="0035F5E3"/>
    <w:rsid w:val="00360979"/>
    <w:rsid w:val="00361162"/>
    <w:rsid w:val="003621C6"/>
    <w:rsid w:val="00362B13"/>
    <w:rsid w:val="00363062"/>
    <w:rsid w:val="00364B25"/>
    <w:rsid w:val="0036517A"/>
    <w:rsid w:val="00365B5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51C"/>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784"/>
    <w:rsid w:val="003C5966"/>
    <w:rsid w:val="003C63A7"/>
    <w:rsid w:val="003D121E"/>
    <w:rsid w:val="003D15E6"/>
    <w:rsid w:val="003D22A9"/>
    <w:rsid w:val="003D2FC4"/>
    <w:rsid w:val="003D457E"/>
    <w:rsid w:val="003D4630"/>
    <w:rsid w:val="003D6FA3"/>
    <w:rsid w:val="003E3BD0"/>
    <w:rsid w:val="003E5D18"/>
    <w:rsid w:val="003E718D"/>
    <w:rsid w:val="003F035A"/>
    <w:rsid w:val="003F1793"/>
    <w:rsid w:val="003F213D"/>
    <w:rsid w:val="003F2150"/>
    <w:rsid w:val="003F6D37"/>
    <w:rsid w:val="003F7459"/>
    <w:rsid w:val="003F7FEF"/>
    <w:rsid w:val="004000CF"/>
    <w:rsid w:val="004004E9"/>
    <w:rsid w:val="004037D8"/>
    <w:rsid w:val="004058C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E7A"/>
    <w:rsid w:val="00436CAB"/>
    <w:rsid w:val="00441782"/>
    <w:rsid w:val="00441DA2"/>
    <w:rsid w:val="00442D40"/>
    <w:rsid w:val="00444D20"/>
    <w:rsid w:val="00444DC8"/>
    <w:rsid w:val="00447240"/>
    <w:rsid w:val="00447D3A"/>
    <w:rsid w:val="00450931"/>
    <w:rsid w:val="0045251F"/>
    <w:rsid w:val="00453BE8"/>
    <w:rsid w:val="004545A3"/>
    <w:rsid w:val="00457302"/>
    <w:rsid w:val="00457646"/>
    <w:rsid w:val="00460143"/>
    <w:rsid w:val="004605AE"/>
    <w:rsid w:val="004612AE"/>
    <w:rsid w:val="00461DE5"/>
    <w:rsid w:val="0046293B"/>
    <w:rsid w:val="00463EE7"/>
    <w:rsid w:val="00464F12"/>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6B84"/>
    <w:rsid w:val="004E01C3"/>
    <w:rsid w:val="004E451F"/>
    <w:rsid w:val="004E5782"/>
    <w:rsid w:val="004E6F4F"/>
    <w:rsid w:val="004E75E2"/>
    <w:rsid w:val="004F05C8"/>
    <w:rsid w:val="004F0898"/>
    <w:rsid w:val="004F21B7"/>
    <w:rsid w:val="004F2772"/>
    <w:rsid w:val="004F2B72"/>
    <w:rsid w:val="004F3B75"/>
    <w:rsid w:val="004F4968"/>
    <w:rsid w:val="004F5107"/>
    <w:rsid w:val="004F613B"/>
    <w:rsid w:val="0050127C"/>
    <w:rsid w:val="00503E55"/>
    <w:rsid w:val="00504C1E"/>
    <w:rsid w:val="00504CFF"/>
    <w:rsid w:val="00505B08"/>
    <w:rsid w:val="00506EF9"/>
    <w:rsid w:val="005106D1"/>
    <w:rsid w:val="00511F78"/>
    <w:rsid w:val="00513718"/>
    <w:rsid w:val="00517BDA"/>
    <w:rsid w:val="00517D10"/>
    <w:rsid w:val="00520B84"/>
    <w:rsid w:val="005219AC"/>
    <w:rsid w:val="00522F98"/>
    <w:rsid w:val="0052502A"/>
    <w:rsid w:val="00525571"/>
    <w:rsid w:val="00530855"/>
    <w:rsid w:val="005310BF"/>
    <w:rsid w:val="0053166F"/>
    <w:rsid w:val="005349A2"/>
    <w:rsid w:val="0053527A"/>
    <w:rsid w:val="005353A5"/>
    <w:rsid w:val="00536403"/>
    <w:rsid w:val="00537794"/>
    <w:rsid w:val="00541F13"/>
    <w:rsid w:val="0054533E"/>
    <w:rsid w:val="005472A9"/>
    <w:rsid w:val="005518F3"/>
    <w:rsid w:val="00552A8E"/>
    <w:rsid w:val="00553DAD"/>
    <w:rsid w:val="005546E5"/>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EBD"/>
    <w:rsid w:val="0059130E"/>
    <w:rsid w:val="00591F30"/>
    <w:rsid w:val="005920AF"/>
    <w:rsid w:val="00592288"/>
    <w:rsid w:val="005922F1"/>
    <w:rsid w:val="00592EE6"/>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26AC"/>
    <w:rsid w:val="005C3457"/>
    <w:rsid w:val="005C39D4"/>
    <w:rsid w:val="005C4CE1"/>
    <w:rsid w:val="005C7392"/>
    <w:rsid w:val="005D08AA"/>
    <w:rsid w:val="005D27A6"/>
    <w:rsid w:val="005D32E9"/>
    <w:rsid w:val="005E15FA"/>
    <w:rsid w:val="005E3684"/>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C47"/>
    <w:rsid w:val="0060401E"/>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620B"/>
    <w:rsid w:val="00636C87"/>
    <w:rsid w:val="00640096"/>
    <w:rsid w:val="006403DF"/>
    <w:rsid w:val="00640B5A"/>
    <w:rsid w:val="00640E1E"/>
    <w:rsid w:val="00644227"/>
    <w:rsid w:val="00644417"/>
    <w:rsid w:val="006445F9"/>
    <w:rsid w:val="00645374"/>
    <w:rsid w:val="00650323"/>
    <w:rsid w:val="00652084"/>
    <w:rsid w:val="00652C10"/>
    <w:rsid w:val="00654AC7"/>
    <w:rsid w:val="006555B1"/>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F4C"/>
    <w:rsid w:val="006D216E"/>
    <w:rsid w:val="006D2A5D"/>
    <w:rsid w:val="006D3AB2"/>
    <w:rsid w:val="006D3FEB"/>
    <w:rsid w:val="006D4332"/>
    <w:rsid w:val="006D7FB9"/>
    <w:rsid w:val="006E11C8"/>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1984"/>
    <w:rsid w:val="006F19C8"/>
    <w:rsid w:val="006F2A57"/>
    <w:rsid w:val="006F3369"/>
    <w:rsid w:val="006F3DAA"/>
    <w:rsid w:val="006F4F51"/>
    <w:rsid w:val="006F5A1C"/>
    <w:rsid w:val="006F619A"/>
    <w:rsid w:val="00700E44"/>
    <w:rsid w:val="00706409"/>
    <w:rsid w:val="007065B1"/>
    <w:rsid w:val="00707CBE"/>
    <w:rsid w:val="00710277"/>
    <w:rsid w:val="007135F7"/>
    <w:rsid w:val="00713691"/>
    <w:rsid w:val="007144DE"/>
    <w:rsid w:val="00716F92"/>
    <w:rsid w:val="00717604"/>
    <w:rsid w:val="0072124E"/>
    <w:rsid w:val="00721B84"/>
    <w:rsid w:val="007234D4"/>
    <w:rsid w:val="00727CC3"/>
    <w:rsid w:val="007330AB"/>
    <w:rsid w:val="0073360E"/>
    <w:rsid w:val="00733B61"/>
    <w:rsid w:val="00734554"/>
    <w:rsid w:val="007351AE"/>
    <w:rsid w:val="00735E06"/>
    <w:rsid w:val="0073763D"/>
    <w:rsid w:val="0074248B"/>
    <w:rsid w:val="00742FF2"/>
    <w:rsid w:val="00743B6A"/>
    <w:rsid w:val="00744593"/>
    <w:rsid w:val="00744F7F"/>
    <w:rsid w:val="007463A2"/>
    <w:rsid w:val="007501E0"/>
    <w:rsid w:val="00750B50"/>
    <w:rsid w:val="007519C5"/>
    <w:rsid w:val="00751BC2"/>
    <w:rsid w:val="007528FD"/>
    <w:rsid w:val="007533EB"/>
    <w:rsid w:val="00753C66"/>
    <w:rsid w:val="007551BA"/>
    <w:rsid w:val="00755359"/>
    <w:rsid w:val="007554A8"/>
    <w:rsid w:val="0075581D"/>
    <w:rsid w:val="0075670A"/>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2BF5"/>
    <w:rsid w:val="0077344D"/>
    <w:rsid w:val="007800FC"/>
    <w:rsid w:val="00781282"/>
    <w:rsid w:val="00781BE5"/>
    <w:rsid w:val="00782D6E"/>
    <w:rsid w:val="00782F91"/>
    <w:rsid w:val="00787A70"/>
    <w:rsid w:val="00790015"/>
    <w:rsid w:val="007902E9"/>
    <w:rsid w:val="0079041D"/>
    <w:rsid w:val="00792EC7"/>
    <w:rsid w:val="00794736"/>
    <w:rsid w:val="00796034"/>
    <w:rsid w:val="00796554"/>
    <w:rsid w:val="007A038A"/>
    <w:rsid w:val="007A3622"/>
    <w:rsid w:val="007A4AED"/>
    <w:rsid w:val="007A4B54"/>
    <w:rsid w:val="007A4EC8"/>
    <w:rsid w:val="007B4F33"/>
    <w:rsid w:val="007B60D8"/>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15A"/>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4010"/>
    <w:rsid w:val="008147AE"/>
    <w:rsid w:val="00815F92"/>
    <w:rsid w:val="008170AE"/>
    <w:rsid w:val="00817AB0"/>
    <w:rsid w:val="00820B1D"/>
    <w:rsid w:val="00820C12"/>
    <w:rsid w:val="00825730"/>
    <w:rsid w:val="00826997"/>
    <w:rsid w:val="00826B27"/>
    <w:rsid w:val="00831EDF"/>
    <w:rsid w:val="0083234B"/>
    <w:rsid w:val="008323EE"/>
    <w:rsid w:val="0083271C"/>
    <w:rsid w:val="0083414C"/>
    <w:rsid w:val="008343E6"/>
    <w:rsid w:val="00835FF8"/>
    <w:rsid w:val="00840DC6"/>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2B95"/>
    <w:rsid w:val="008932B3"/>
    <w:rsid w:val="00893975"/>
    <w:rsid w:val="00894FBB"/>
    <w:rsid w:val="008951BB"/>
    <w:rsid w:val="008969E4"/>
    <w:rsid w:val="0089747F"/>
    <w:rsid w:val="0089798C"/>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671F"/>
    <w:rsid w:val="008E7A5D"/>
    <w:rsid w:val="008E7D7A"/>
    <w:rsid w:val="008F1F15"/>
    <w:rsid w:val="008F2EDB"/>
    <w:rsid w:val="00901D8D"/>
    <w:rsid w:val="00902ABE"/>
    <w:rsid w:val="00902FB3"/>
    <w:rsid w:val="00910B39"/>
    <w:rsid w:val="00911D37"/>
    <w:rsid w:val="00915792"/>
    <w:rsid w:val="009157C9"/>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892"/>
    <w:rsid w:val="00953BCD"/>
    <w:rsid w:val="00957230"/>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E0D3E"/>
    <w:rsid w:val="009E0E62"/>
    <w:rsid w:val="009E2676"/>
    <w:rsid w:val="009E2982"/>
    <w:rsid w:val="009E3967"/>
    <w:rsid w:val="009E644D"/>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32D3"/>
    <w:rsid w:val="00A13395"/>
    <w:rsid w:val="00A13502"/>
    <w:rsid w:val="00A13707"/>
    <w:rsid w:val="00A13BC3"/>
    <w:rsid w:val="00A13C68"/>
    <w:rsid w:val="00A15B27"/>
    <w:rsid w:val="00A15FD0"/>
    <w:rsid w:val="00A1725B"/>
    <w:rsid w:val="00A20B00"/>
    <w:rsid w:val="00A2134B"/>
    <w:rsid w:val="00A2240E"/>
    <w:rsid w:val="00A22506"/>
    <w:rsid w:val="00A23AD9"/>
    <w:rsid w:val="00A23DEB"/>
    <w:rsid w:val="00A24D52"/>
    <w:rsid w:val="00A302E1"/>
    <w:rsid w:val="00A30F76"/>
    <w:rsid w:val="00A316C8"/>
    <w:rsid w:val="00A32618"/>
    <w:rsid w:val="00A33BDF"/>
    <w:rsid w:val="00A41B06"/>
    <w:rsid w:val="00A4297C"/>
    <w:rsid w:val="00A42C97"/>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60CE"/>
    <w:rsid w:val="00A80DF0"/>
    <w:rsid w:val="00A826E4"/>
    <w:rsid w:val="00A84BD3"/>
    <w:rsid w:val="00A84CD5"/>
    <w:rsid w:val="00A863F7"/>
    <w:rsid w:val="00A86826"/>
    <w:rsid w:val="00A87500"/>
    <w:rsid w:val="00A901AE"/>
    <w:rsid w:val="00A904D4"/>
    <w:rsid w:val="00A90B88"/>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C14D4"/>
    <w:rsid w:val="00AC1ABB"/>
    <w:rsid w:val="00AC547F"/>
    <w:rsid w:val="00AC5F4A"/>
    <w:rsid w:val="00AC7525"/>
    <w:rsid w:val="00AD284F"/>
    <w:rsid w:val="00AD35A4"/>
    <w:rsid w:val="00AD3731"/>
    <w:rsid w:val="00AD462E"/>
    <w:rsid w:val="00AD5D0E"/>
    <w:rsid w:val="00AD7D9F"/>
    <w:rsid w:val="00AE01FF"/>
    <w:rsid w:val="00AE1AFA"/>
    <w:rsid w:val="00AE2A47"/>
    <w:rsid w:val="00AE300E"/>
    <w:rsid w:val="00AE3C90"/>
    <w:rsid w:val="00AE3C9C"/>
    <w:rsid w:val="00AE6079"/>
    <w:rsid w:val="00AF014D"/>
    <w:rsid w:val="00AF1315"/>
    <w:rsid w:val="00AF29DB"/>
    <w:rsid w:val="00AF323F"/>
    <w:rsid w:val="00AF387B"/>
    <w:rsid w:val="00AF61F6"/>
    <w:rsid w:val="00AF656D"/>
    <w:rsid w:val="00B007D0"/>
    <w:rsid w:val="00B02BA8"/>
    <w:rsid w:val="00B0453C"/>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68DC"/>
    <w:rsid w:val="00B46BF8"/>
    <w:rsid w:val="00B47CB6"/>
    <w:rsid w:val="00B501EF"/>
    <w:rsid w:val="00B5127C"/>
    <w:rsid w:val="00B54611"/>
    <w:rsid w:val="00B54928"/>
    <w:rsid w:val="00B54F58"/>
    <w:rsid w:val="00B60B2B"/>
    <w:rsid w:val="00B6409A"/>
    <w:rsid w:val="00B65F09"/>
    <w:rsid w:val="00B6699F"/>
    <w:rsid w:val="00B6744B"/>
    <w:rsid w:val="00B746FB"/>
    <w:rsid w:val="00B7516F"/>
    <w:rsid w:val="00B7731A"/>
    <w:rsid w:val="00B8087F"/>
    <w:rsid w:val="00B80EAE"/>
    <w:rsid w:val="00B82A7D"/>
    <w:rsid w:val="00B82FC4"/>
    <w:rsid w:val="00B830C2"/>
    <w:rsid w:val="00B83898"/>
    <w:rsid w:val="00B83CD1"/>
    <w:rsid w:val="00B87A21"/>
    <w:rsid w:val="00B90BAE"/>
    <w:rsid w:val="00B920E6"/>
    <w:rsid w:val="00B9262A"/>
    <w:rsid w:val="00B930CD"/>
    <w:rsid w:val="00B94050"/>
    <w:rsid w:val="00B961BC"/>
    <w:rsid w:val="00B96B1C"/>
    <w:rsid w:val="00BA1128"/>
    <w:rsid w:val="00BA1909"/>
    <w:rsid w:val="00BA5818"/>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5A"/>
    <w:rsid w:val="00BE6195"/>
    <w:rsid w:val="00BE66A1"/>
    <w:rsid w:val="00BE734B"/>
    <w:rsid w:val="00BE74A6"/>
    <w:rsid w:val="00BF0A63"/>
    <w:rsid w:val="00BF3A95"/>
    <w:rsid w:val="00BF63E2"/>
    <w:rsid w:val="00BF6F58"/>
    <w:rsid w:val="00BF6FF9"/>
    <w:rsid w:val="00BF7F29"/>
    <w:rsid w:val="00C01C22"/>
    <w:rsid w:val="00C02C22"/>
    <w:rsid w:val="00C048B6"/>
    <w:rsid w:val="00C063BC"/>
    <w:rsid w:val="00C0655D"/>
    <w:rsid w:val="00C070C1"/>
    <w:rsid w:val="00C1037F"/>
    <w:rsid w:val="00C1094C"/>
    <w:rsid w:val="00C10D76"/>
    <w:rsid w:val="00C145BF"/>
    <w:rsid w:val="00C145FC"/>
    <w:rsid w:val="00C15AD6"/>
    <w:rsid w:val="00C17AD5"/>
    <w:rsid w:val="00C17BE9"/>
    <w:rsid w:val="00C2196F"/>
    <w:rsid w:val="00C238B8"/>
    <w:rsid w:val="00C267A0"/>
    <w:rsid w:val="00C267AA"/>
    <w:rsid w:val="00C267AC"/>
    <w:rsid w:val="00C27551"/>
    <w:rsid w:val="00C30F2D"/>
    <w:rsid w:val="00C32688"/>
    <w:rsid w:val="00C33520"/>
    <w:rsid w:val="00C360AE"/>
    <w:rsid w:val="00C4050B"/>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7367F"/>
    <w:rsid w:val="00C738EA"/>
    <w:rsid w:val="00C7430D"/>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EA2"/>
    <w:rsid w:val="00CD0E61"/>
    <w:rsid w:val="00CD1A19"/>
    <w:rsid w:val="00CD201E"/>
    <w:rsid w:val="00CD2C10"/>
    <w:rsid w:val="00CD2EC1"/>
    <w:rsid w:val="00CD51C0"/>
    <w:rsid w:val="00CD591F"/>
    <w:rsid w:val="00CD6FE2"/>
    <w:rsid w:val="00CE1DFA"/>
    <w:rsid w:val="00CE3686"/>
    <w:rsid w:val="00CE3752"/>
    <w:rsid w:val="00CE57F8"/>
    <w:rsid w:val="00CE65C1"/>
    <w:rsid w:val="00CE7FF2"/>
    <w:rsid w:val="00CF3DB5"/>
    <w:rsid w:val="00CF4A46"/>
    <w:rsid w:val="00CF6B7A"/>
    <w:rsid w:val="00CF6EE9"/>
    <w:rsid w:val="00CF7A85"/>
    <w:rsid w:val="00D01C7B"/>
    <w:rsid w:val="00D047B2"/>
    <w:rsid w:val="00D05979"/>
    <w:rsid w:val="00D05A25"/>
    <w:rsid w:val="00D0713A"/>
    <w:rsid w:val="00D10AE3"/>
    <w:rsid w:val="00D12992"/>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8EF"/>
    <w:rsid w:val="00D874BC"/>
    <w:rsid w:val="00D905A0"/>
    <w:rsid w:val="00D910F1"/>
    <w:rsid w:val="00D915E3"/>
    <w:rsid w:val="00D92A45"/>
    <w:rsid w:val="00D95460"/>
    <w:rsid w:val="00DA0E55"/>
    <w:rsid w:val="00DA4141"/>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55E"/>
    <w:rsid w:val="00DD3402"/>
    <w:rsid w:val="00DD36BF"/>
    <w:rsid w:val="00DD37C8"/>
    <w:rsid w:val="00DD704E"/>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502F8"/>
    <w:rsid w:val="00E51448"/>
    <w:rsid w:val="00E51EC6"/>
    <w:rsid w:val="00E53651"/>
    <w:rsid w:val="00E5433E"/>
    <w:rsid w:val="00E562AC"/>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F5A"/>
    <w:rsid w:val="00EA7E68"/>
    <w:rsid w:val="00EB26BD"/>
    <w:rsid w:val="00EB70D7"/>
    <w:rsid w:val="00EB7210"/>
    <w:rsid w:val="00EB788E"/>
    <w:rsid w:val="00EB7BC2"/>
    <w:rsid w:val="00EC48C1"/>
    <w:rsid w:val="00EC6129"/>
    <w:rsid w:val="00EC7C01"/>
    <w:rsid w:val="00ED298A"/>
    <w:rsid w:val="00ED32A1"/>
    <w:rsid w:val="00ED4539"/>
    <w:rsid w:val="00ED523B"/>
    <w:rsid w:val="00EE28F4"/>
    <w:rsid w:val="00EE3526"/>
    <w:rsid w:val="00EE3663"/>
    <w:rsid w:val="00EE3D2A"/>
    <w:rsid w:val="00EE4516"/>
    <w:rsid w:val="00EE489D"/>
    <w:rsid w:val="00EE61E2"/>
    <w:rsid w:val="00EE6417"/>
    <w:rsid w:val="00EE6B10"/>
    <w:rsid w:val="00EE78BB"/>
    <w:rsid w:val="00EF0586"/>
    <w:rsid w:val="00EF0B09"/>
    <w:rsid w:val="00EF10A4"/>
    <w:rsid w:val="00EF15FB"/>
    <w:rsid w:val="00EF6D69"/>
    <w:rsid w:val="00EF7CDD"/>
    <w:rsid w:val="00EF7FC9"/>
    <w:rsid w:val="00F02D1D"/>
    <w:rsid w:val="00F04569"/>
    <w:rsid w:val="00F05CC4"/>
    <w:rsid w:val="00F1095C"/>
    <w:rsid w:val="00F11129"/>
    <w:rsid w:val="00F13DF5"/>
    <w:rsid w:val="00F20DF8"/>
    <w:rsid w:val="00F20F1D"/>
    <w:rsid w:val="00F20F66"/>
    <w:rsid w:val="00F216A5"/>
    <w:rsid w:val="00F2362B"/>
    <w:rsid w:val="00F24640"/>
    <w:rsid w:val="00F24AED"/>
    <w:rsid w:val="00F26205"/>
    <w:rsid w:val="00F26227"/>
    <w:rsid w:val="00F26F57"/>
    <w:rsid w:val="00F322D3"/>
    <w:rsid w:val="00F32EC9"/>
    <w:rsid w:val="00F33F05"/>
    <w:rsid w:val="00F34E68"/>
    <w:rsid w:val="00F351CF"/>
    <w:rsid w:val="00F35820"/>
    <w:rsid w:val="00F369B3"/>
    <w:rsid w:val="00F36C51"/>
    <w:rsid w:val="00F37083"/>
    <w:rsid w:val="00F41C86"/>
    <w:rsid w:val="00F4294B"/>
    <w:rsid w:val="00F42A2B"/>
    <w:rsid w:val="00F46B0D"/>
    <w:rsid w:val="00F50D97"/>
    <w:rsid w:val="00F51E88"/>
    <w:rsid w:val="00F5264C"/>
    <w:rsid w:val="00F52A0B"/>
    <w:rsid w:val="00F54026"/>
    <w:rsid w:val="00F544C1"/>
    <w:rsid w:val="00F5642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4721"/>
    <w:rsid w:val="00F948FF"/>
    <w:rsid w:val="00F94B37"/>
    <w:rsid w:val="00F95054"/>
    <w:rsid w:val="00F95A7C"/>
    <w:rsid w:val="00F97912"/>
    <w:rsid w:val="00F97B42"/>
    <w:rsid w:val="00F97C74"/>
    <w:rsid w:val="00F9C8D7"/>
    <w:rsid w:val="00FA3277"/>
    <w:rsid w:val="00FA37DE"/>
    <w:rsid w:val="00FA635F"/>
    <w:rsid w:val="00FB1BEC"/>
    <w:rsid w:val="00FB3645"/>
    <w:rsid w:val="00FB4ECB"/>
    <w:rsid w:val="00FB59AF"/>
    <w:rsid w:val="00FB59DE"/>
    <w:rsid w:val="00FB6737"/>
    <w:rsid w:val="00FB721F"/>
    <w:rsid w:val="00FC0391"/>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6474"/>
    <w:rsid w:val="00FE6FF2"/>
    <w:rsid w:val="00FE7F74"/>
    <w:rsid w:val="00FF0875"/>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95ACC"/>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34"/>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9e92c0a8e81f416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TaxCatchAll xmlns="4243d5be-521d-4052-81ca-f0f31ea6f2da" xsi:nil="true"/>
    <Status xmlns="cbfae517-e33a-4045-9015-a9c05edbb1f2" xsi:nil="true"/>
    <Complete xmlns="cbfae517-e33a-4045-9015-a9c05edbb1f2">false</Comple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084AD-90D8-4824-A080-EAB70041D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customXml/itemProps3.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4.xml><?xml version="1.0" encoding="utf-8"?>
<ds:datastoreItem xmlns:ds="http://schemas.openxmlformats.org/officeDocument/2006/customXml" ds:itemID="{9E36B441-C1E0-415E-B8C5-C9EC263E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Kohli, Rahul</cp:lastModifiedBy>
  <cp:revision>6</cp:revision>
  <dcterms:created xsi:type="dcterms:W3CDTF">2022-06-07T19:11:00Z</dcterms:created>
  <dcterms:modified xsi:type="dcterms:W3CDTF">2022-06-08T01:46:00Z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ies>
</file>